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B5E23" w14:textId="50BE7487" w:rsidR="008E0F72" w:rsidRDefault="008E0F72" w:rsidP="00510C4A">
      <w:pPr>
        <w:pStyle w:val="Heading1"/>
        <w:spacing w:before="0"/>
        <w:jc w:val="center"/>
      </w:pPr>
      <w:bookmarkStart w:id="0" w:name="_Hlk25317812"/>
    </w:p>
    <w:p w14:paraId="4D51E248" w14:textId="1AF5B880" w:rsidR="000A1ABF" w:rsidRDefault="000A1ABF" w:rsidP="00510C4A">
      <w:pPr>
        <w:pStyle w:val="Heading1"/>
        <w:spacing w:before="0"/>
        <w:jc w:val="center"/>
      </w:pPr>
      <w:r>
        <w:t>Data C</w:t>
      </w:r>
      <w:r w:rsidR="005402B3">
        <w:t>ollection</w:t>
      </w:r>
      <w:r>
        <w:t xml:space="preserve"> Tool for </w:t>
      </w:r>
      <w:r w:rsidR="00510C4A">
        <w:t>CQUIN</w:t>
      </w:r>
      <w:r>
        <w:t xml:space="preserve"> Audit</w:t>
      </w:r>
      <w:r w:rsidR="00510C4A">
        <w:t xml:space="preserve"> </w:t>
      </w:r>
      <w:r w:rsidR="00380215">
        <w:t>CCG1</w:t>
      </w:r>
      <w:r w:rsidR="006B7089">
        <w:t>2</w:t>
      </w:r>
      <w:r w:rsidR="00380215">
        <w:t xml:space="preserve"> </w:t>
      </w:r>
    </w:p>
    <w:p w14:paraId="266C458C" w14:textId="0EC9E849" w:rsidR="00F869F6" w:rsidRDefault="00FB58C5" w:rsidP="00510C4A">
      <w:pPr>
        <w:pStyle w:val="Heading1"/>
        <w:spacing w:before="0"/>
        <w:jc w:val="center"/>
      </w:pPr>
      <w:r>
        <w:t>Assessment and documentation of pressure ulcer risk</w:t>
      </w:r>
      <w:r w:rsidR="008E1635">
        <w:t xml:space="preserve"> (</w:t>
      </w:r>
      <w:r w:rsidR="000A1ABF">
        <w:t>v</w:t>
      </w:r>
      <w:r w:rsidR="006B7089">
        <w:t>1</w:t>
      </w:r>
      <w:r w:rsidR="000A1ABF">
        <w:t>.0</w:t>
      </w:r>
      <w:r w:rsidR="008E1635">
        <w:t>)</w:t>
      </w:r>
    </w:p>
    <w:p w14:paraId="60B9A712" w14:textId="36C1961B" w:rsidR="00510C4A" w:rsidRPr="00E73B4B" w:rsidRDefault="00804E84" w:rsidP="00E73B4B">
      <w:pPr>
        <w:rPr>
          <w:rFonts w:eastAsia="Calibri"/>
        </w:rPr>
      </w:pPr>
      <w:r w:rsidRPr="30B0BAA3">
        <w:rPr>
          <w:rFonts w:eastAsia="Calibri"/>
        </w:rPr>
        <w:t>Of the denominator, those where the following actions were taken within 24 hours of admission (or by 1</w:t>
      </w:r>
      <w:r w:rsidRPr="30B0BAA3">
        <w:rPr>
          <w:rFonts w:eastAsia="Calibri"/>
          <w:vertAlign w:val="superscript"/>
        </w:rPr>
        <w:t>st</w:t>
      </w:r>
      <w:r w:rsidRPr="30B0BAA3">
        <w:rPr>
          <w:rFonts w:eastAsia="Calibri"/>
        </w:rPr>
        <w:t xml:space="preserve"> June 202</w:t>
      </w:r>
      <w:r w:rsidR="006B7089">
        <w:rPr>
          <w:rFonts w:eastAsia="Calibri"/>
        </w:rPr>
        <w:t>3</w:t>
      </w:r>
      <w:r w:rsidRPr="30B0BAA3">
        <w:rPr>
          <w:rFonts w:eastAsia="Calibri"/>
        </w:rPr>
        <w:t xml:space="preserve"> for those admitted prior to 1st April 202</w:t>
      </w:r>
      <w:r w:rsidR="006B7089">
        <w:rPr>
          <w:rFonts w:eastAsia="Calibri"/>
        </w:rPr>
        <w:t>3</w:t>
      </w:r>
      <w:r w:rsidRPr="30B0BAA3">
        <w:rPr>
          <w:rFonts w:eastAsia="Calibri"/>
        </w:rPr>
        <w:t>) and then repeated at least every 30 days of the patient spell:</w:t>
      </w:r>
    </w:p>
    <w:tbl>
      <w:tblPr>
        <w:tblStyle w:val="TableGrid"/>
        <w:tblpPr w:leftFromText="180" w:rightFromText="180" w:vertAnchor="text" w:horzAnchor="margin" w:tblpXSpec="center" w:tblpY="54"/>
        <w:tblOverlap w:val="never"/>
        <w:tblW w:w="9356" w:type="dxa"/>
        <w:tblLayout w:type="fixed"/>
        <w:tblLook w:val="04A0" w:firstRow="1" w:lastRow="0" w:firstColumn="1" w:lastColumn="0" w:noHBand="0" w:noVBand="1"/>
      </w:tblPr>
      <w:tblGrid>
        <w:gridCol w:w="1807"/>
        <w:gridCol w:w="29"/>
        <w:gridCol w:w="6381"/>
        <w:gridCol w:w="1139"/>
      </w:tblGrid>
      <w:tr w:rsidR="00A518BC" w:rsidRPr="00DF3112" w14:paraId="6F48857F" w14:textId="77777777" w:rsidTr="00A518BC">
        <w:tc>
          <w:tcPr>
            <w:tcW w:w="18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bookmarkEnd w:id="0"/>
          <w:p w14:paraId="378B5001" w14:textId="77777777" w:rsidR="00A518BC" w:rsidRDefault="00A518BC" w:rsidP="00A518BC">
            <w:pPr>
              <w:tabs>
                <w:tab w:val="left" w:pos="1455"/>
              </w:tabs>
              <w:rPr>
                <w:b/>
                <w:bCs/>
              </w:rPr>
            </w:pPr>
            <w:r>
              <w:rPr>
                <w:b/>
                <w:bCs/>
              </w:rPr>
              <w:t>Patient ID</w:t>
            </w:r>
          </w:p>
          <w:p w14:paraId="051A17F8" w14:textId="42B8686F" w:rsidR="00A518BC" w:rsidRPr="00380215" w:rsidRDefault="00A518BC" w:rsidP="00A518BC">
            <w:pPr>
              <w:tabs>
                <w:tab w:val="left" w:pos="1455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</w:tc>
        <w:tc>
          <w:tcPr>
            <w:tcW w:w="75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D26288" w14:textId="38C8A977" w:rsidR="00A518BC" w:rsidRPr="00380215" w:rsidRDefault="00A518BC" w:rsidP="00A518BC">
            <w:pPr>
              <w:tabs>
                <w:tab w:val="left" w:pos="1455"/>
              </w:tabs>
              <w:rPr>
                <w:b/>
                <w:bCs/>
              </w:rPr>
            </w:pPr>
          </w:p>
        </w:tc>
      </w:tr>
      <w:tr w:rsidR="00F77AA0" w:rsidRPr="00DF3112" w14:paraId="5EE3A8D2" w14:textId="77777777" w:rsidTr="00F77AA0">
        <w:tc>
          <w:tcPr>
            <w:tcW w:w="82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E12D09C" w14:textId="2496AC07" w:rsidR="00F77AA0" w:rsidRDefault="00F77AA0" w:rsidP="00CF0696">
            <w:bookmarkStart w:id="1" w:name="_Hlk94263983"/>
            <w:r w:rsidRPr="00F77AA0"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 w:rsidRPr="00F77AA0">
              <w:rPr>
                <w:b/>
                <w:bCs/>
              </w:rPr>
              <w:t xml:space="preserve"> - Criteria 1:  </w:t>
            </w:r>
            <w:r w:rsidRPr="005921C9">
              <w:t xml:space="preserve"> </w:t>
            </w:r>
          </w:p>
          <w:p w14:paraId="724A18BE" w14:textId="72A9FB19" w:rsidR="00F77AA0" w:rsidRDefault="00F77AA0" w:rsidP="00F77AA0">
            <w:pPr>
              <w:rPr>
                <w:b/>
                <w:bCs/>
              </w:rPr>
            </w:pPr>
            <w:r w:rsidRPr="005921C9">
              <w:t xml:space="preserve">Documentation of a full </w:t>
            </w:r>
            <w:r w:rsidRPr="00F77AA0">
              <w:rPr>
                <w:rFonts w:eastAsia="Calibri"/>
              </w:rPr>
              <w:t xml:space="preserve">pressure ulcer risk assessment </w:t>
            </w:r>
            <w:bookmarkEnd w:id="1"/>
            <w:r w:rsidRPr="00F77AA0">
              <w:rPr>
                <w:rFonts w:eastAsia="Calibri"/>
              </w:rPr>
              <w:t xml:space="preserve">(within 6hrs) </w:t>
            </w:r>
            <w:r>
              <w:rPr>
                <w:rStyle w:val="FootnoteReference"/>
                <w:rFonts w:eastAsia="Calibri"/>
              </w:rPr>
              <w:footnoteReference w:id="1"/>
            </w:r>
            <w:r w:rsidRPr="00F77AA0">
              <w:rPr>
                <w:rFonts w:eastAsia="Calibri"/>
              </w:rPr>
              <w:t xml:space="preserve"> using a validated scale, such as </w:t>
            </w:r>
            <w:proofErr w:type="spellStart"/>
            <w:r w:rsidRPr="00F77AA0">
              <w:rPr>
                <w:rFonts w:eastAsia="Calibri"/>
              </w:rPr>
              <w:t>Waterlow</w:t>
            </w:r>
            <w:proofErr w:type="spellEnd"/>
            <w:r w:rsidRPr="00F77AA0">
              <w:rPr>
                <w:rFonts w:eastAsia="Calibri"/>
              </w:rPr>
              <w:t>, Purpose T, or Braden, that assesses all the following: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4FE562" w14:textId="3A3055F8" w:rsidR="00F77AA0" w:rsidRPr="00EA1A68" w:rsidRDefault="00F77AA0" w:rsidP="00F77AA0">
            <w:pPr>
              <w:rPr>
                <w:b/>
                <w:bCs/>
                <w:sz w:val="18"/>
                <w:szCs w:val="18"/>
              </w:rPr>
            </w:pPr>
            <w:r w:rsidRPr="00EA1A68">
              <w:rPr>
                <w:b/>
                <w:bCs/>
                <w:sz w:val="18"/>
                <w:szCs w:val="18"/>
              </w:rPr>
              <w:t>Achieved</w:t>
            </w:r>
            <w:r>
              <w:rPr>
                <w:rStyle w:val="FootnoteReference"/>
                <w:b/>
                <w:bCs/>
                <w:sz w:val="18"/>
                <w:szCs w:val="18"/>
              </w:rPr>
              <w:footnoteReference w:id="2"/>
            </w:r>
          </w:p>
        </w:tc>
      </w:tr>
      <w:tr w:rsidR="00A518BC" w:rsidRPr="00DF3112" w14:paraId="4B717251" w14:textId="7D01B559" w:rsidTr="00A518BC">
        <w:tc>
          <w:tcPr>
            <w:tcW w:w="18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A51622B" w14:textId="6E838B93" w:rsidR="00A518BC" w:rsidRPr="00DF3112" w:rsidRDefault="00A518BC" w:rsidP="00A518BC">
            <w:pPr>
              <w:rPr>
                <w:b/>
                <w:bCs/>
              </w:rPr>
            </w:pPr>
            <w:r w:rsidRPr="00DF3112">
              <w:rPr>
                <w:b/>
                <w:bCs/>
              </w:rPr>
              <w:t>Domain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F2FE502" w14:textId="30D76D4F" w:rsidR="00A518BC" w:rsidRPr="00DF3112" w:rsidRDefault="00A518BC" w:rsidP="00A518BC">
            <w:pPr>
              <w:rPr>
                <w:b/>
                <w:bCs/>
              </w:rPr>
            </w:pPr>
            <w:r w:rsidRPr="00DF3112">
              <w:rPr>
                <w:b/>
                <w:bCs/>
              </w:rPr>
              <w:t>Data Item</w:t>
            </w:r>
          </w:p>
        </w:tc>
        <w:tc>
          <w:tcPr>
            <w:tcW w:w="1139" w:type="dxa"/>
            <w:shd w:val="clear" w:color="auto" w:fill="FFFFFF" w:themeFill="background1"/>
          </w:tcPr>
          <w:p w14:paraId="5DDD2B92" w14:textId="64E09505" w:rsidR="00A518BC" w:rsidRPr="00EA1A68" w:rsidRDefault="00A518BC" w:rsidP="00A518B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518BC" w14:paraId="6DBC11D1" w14:textId="4E2FCE62" w:rsidTr="00A518BC">
        <w:tc>
          <w:tcPr>
            <w:tcW w:w="1807" w:type="dxa"/>
            <w:vMerge w:val="restart"/>
            <w:shd w:val="clear" w:color="auto" w:fill="D9E2F3" w:themeFill="accent1" w:themeFillTint="33"/>
          </w:tcPr>
          <w:p w14:paraId="5A3B592D" w14:textId="78E2C118" w:rsidR="00A518BC" w:rsidRPr="00E64493" w:rsidRDefault="00C5427C" w:rsidP="00A518BC">
            <w:pPr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Risk factors</w:t>
            </w:r>
            <w:r w:rsidR="00DE3539">
              <w:rPr>
                <w:b/>
                <w:bCs/>
              </w:rPr>
              <w:t xml:space="preserve"> </w:t>
            </w:r>
          </w:p>
        </w:tc>
        <w:tc>
          <w:tcPr>
            <w:tcW w:w="6410" w:type="dxa"/>
            <w:gridSpan w:val="2"/>
            <w:shd w:val="clear" w:color="auto" w:fill="D9E2F3" w:themeFill="accent1" w:themeFillTint="33"/>
          </w:tcPr>
          <w:p w14:paraId="31D905B0" w14:textId="107BD34E" w:rsidR="00A518BC" w:rsidRDefault="00C5427C" w:rsidP="00A518BC">
            <w:r>
              <w:t>Mobility</w:t>
            </w:r>
          </w:p>
        </w:tc>
        <w:tc>
          <w:tcPr>
            <w:tcW w:w="1139" w:type="dxa"/>
          </w:tcPr>
          <w:p w14:paraId="30A82913" w14:textId="77777777" w:rsidR="00A518BC" w:rsidRPr="00DF3112" w:rsidRDefault="00A518BC" w:rsidP="00A518BC"/>
        </w:tc>
      </w:tr>
      <w:tr w:rsidR="00A518BC" w14:paraId="4F4F5C8C" w14:textId="69167A9C" w:rsidTr="00A518BC">
        <w:tc>
          <w:tcPr>
            <w:tcW w:w="1807" w:type="dxa"/>
            <w:vMerge/>
            <w:shd w:val="clear" w:color="auto" w:fill="D9E2F3" w:themeFill="accent1" w:themeFillTint="33"/>
          </w:tcPr>
          <w:p w14:paraId="630479CE" w14:textId="77777777" w:rsidR="00A518BC" w:rsidRDefault="00A518BC" w:rsidP="00A518BC"/>
        </w:tc>
        <w:tc>
          <w:tcPr>
            <w:tcW w:w="6410" w:type="dxa"/>
            <w:gridSpan w:val="2"/>
            <w:shd w:val="clear" w:color="auto" w:fill="D9E2F3" w:themeFill="accent1" w:themeFillTint="33"/>
          </w:tcPr>
          <w:p w14:paraId="3DC1CFD8" w14:textId="5109BA1A" w:rsidR="00A518BC" w:rsidRDefault="00C5427C" w:rsidP="00A518BC">
            <w:r>
              <w:t>Skin status</w:t>
            </w:r>
          </w:p>
        </w:tc>
        <w:tc>
          <w:tcPr>
            <w:tcW w:w="1139" w:type="dxa"/>
          </w:tcPr>
          <w:p w14:paraId="315A7674" w14:textId="77777777" w:rsidR="00A518BC" w:rsidRPr="00DF3112" w:rsidRDefault="00A518BC" w:rsidP="00A518BC"/>
        </w:tc>
      </w:tr>
      <w:tr w:rsidR="00A518BC" w14:paraId="0AF35434" w14:textId="7E5FECEA" w:rsidTr="00A518BC">
        <w:tc>
          <w:tcPr>
            <w:tcW w:w="1807" w:type="dxa"/>
            <w:vMerge/>
            <w:shd w:val="clear" w:color="auto" w:fill="D9E2F3" w:themeFill="accent1" w:themeFillTint="33"/>
          </w:tcPr>
          <w:p w14:paraId="329E40D9" w14:textId="77777777" w:rsidR="00A518BC" w:rsidRDefault="00A518BC" w:rsidP="00A518BC"/>
        </w:tc>
        <w:tc>
          <w:tcPr>
            <w:tcW w:w="6410" w:type="dxa"/>
            <w:gridSpan w:val="2"/>
            <w:shd w:val="clear" w:color="auto" w:fill="D9E2F3" w:themeFill="accent1" w:themeFillTint="33"/>
          </w:tcPr>
          <w:p w14:paraId="7C2AA470" w14:textId="78FE7937" w:rsidR="00A518BC" w:rsidRDefault="000915E3" w:rsidP="00A518BC">
            <w:r>
              <w:t>Nutritional status</w:t>
            </w:r>
          </w:p>
        </w:tc>
        <w:tc>
          <w:tcPr>
            <w:tcW w:w="1139" w:type="dxa"/>
          </w:tcPr>
          <w:p w14:paraId="022085DF" w14:textId="77777777" w:rsidR="00A518BC" w:rsidRPr="00DF3112" w:rsidRDefault="00A518BC" w:rsidP="00A518BC"/>
        </w:tc>
      </w:tr>
      <w:tr w:rsidR="0016022A" w14:paraId="571D8607" w14:textId="77777777" w:rsidTr="00A518BC">
        <w:tc>
          <w:tcPr>
            <w:tcW w:w="1807" w:type="dxa"/>
            <w:vMerge/>
            <w:shd w:val="clear" w:color="auto" w:fill="D9E2F3" w:themeFill="accent1" w:themeFillTint="33"/>
          </w:tcPr>
          <w:p w14:paraId="0945DADC" w14:textId="77777777" w:rsidR="0016022A" w:rsidRDefault="0016022A" w:rsidP="00A518BC"/>
        </w:tc>
        <w:tc>
          <w:tcPr>
            <w:tcW w:w="6410" w:type="dxa"/>
            <w:gridSpan w:val="2"/>
            <w:shd w:val="clear" w:color="auto" w:fill="D9E2F3" w:themeFill="accent1" w:themeFillTint="33"/>
          </w:tcPr>
          <w:p w14:paraId="57E9E9AF" w14:textId="4AD5F3CB" w:rsidR="0016022A" w:rsidRDefault="0016022A" w:rsidP="00A518BC">
            <w:r>
              <w:t>Continence</w:t>
            </w:r>
          </w:p>
        </w:tc>
        <w:tc>
          <w:tcPr>
            <w:tcW w:w="1139" w:type="dxa"/>
          </w:tcPr>
          <w:p w14:paraId="43B6CE84" w14:textId="77777777" w:rsidR="0016022A" w:rsidRPr="00DF3112" w:rsidRDefault="0016022A" w:rsidP="00A518BC"/>
        </w:tc>
      </w:tr>
      <w:tr w:rsidR="00A518BC" w14:paraId="6DF3BB88" w14:textId="3BEE0A54" w:rsidTr="00A518BC">
        <w:tc>
          <w:tcPr>
            <w:tcW w:w="1807" w:type="dxa"/>
            <w:vMerge/>
            <w:shd w:val="clear" w:color="auto" w:fill="D9E2F3" w:themeFill="accent1" w:themeFillTint="33"/>
          </w:tcPr>
          <w:p w14:paraId="1731FBA6" w14:textId="77777777" w:rsidR="00A518BC" w:rsidRDefault="00A518BC" w:rsidP="00A518BC"/>
        </w:tc>
        <w:tc>
          <w:tcPr>
            <w:tcW w:w="6410" w:type="dxa"/>
            <w:gridSpan w:val="2"/>
            <w:shd w:val="clear" w:color="auto" w:fill="D9E2F3" w:themeFill="accent1" w:themeFillTint="33"/>
          </w:tcPr>
          <w:p w14:paraId="738FC7DF" w14:textId="0CD9460E" w:rsidR="00A518BC" w:rsidRPr="00DF3112" w:rsidRDefault="000915E3" w:rsidP="00A518BC">
            <w:r>
              <w:t>Sensory perception</w:t>
            </w:r>
          </w:p>
        </w:tc>
        <w:tc>
          <w:tcPr>
            <w:tcW w:w="1139" w:type="dxa"/>
          </w:tcPr>
          <w:p w14:paraId="3D72500C" w14:textId="77777777" w:rsidR="00A518BC" w:rsidRPr="00DF3112" w:rsidRDefault="00A518BC" w:rsidP="00A518BC"/>
        </w:tc>
      </w:tr>
      <w:tr w:rsidR="00570104" w14:paraId="26493C30" w14:textId="77777777" w:rsidTr="00F77AA0">
        <w:tc>
          <w:tcPr>
            <w:tcW w:w="1807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5CA651" w14:textId="3241ED0F" w:rsidR="00570104" w:rsidRPr="00B900B0" w:rsidRDefault="00570104" w:rsidP="00A518BC">
            <w:pPr>
              <w:rPr>
                <w:b/>
                <w:bCs/>
              </w:rPr>
            </w:pPr>
            <w:r w:rsidRPr="00B900B0">
              <w:rPr>
                <w:b/>
                <w:bCs/>
              </w:rPr>
              <w:t>Timeliness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6547E5" w14:textId="66FC3CEA" w:rsidR="00570104" w:rsidRPr="00DF3112" w:rsidRDefault="00CF0696" w:rsidP="00A518BC">
            <w:r>
              <w:t xml:space="preserve">Risk </w:t>
            </w:r>
            <w:r w:rsidR="00B900B0">
              <w:t xml:space="preserve">assessment </w:t>
            </w:r>
            <w:r>
              <w:t xml:space="preserve">completed </w:t>
            </w:r>
            <w:r w:rsidR="00B900B0">
              <w:t>within 6 hours</w:t>
            </w:r>
            <w:r w:rsidR="00C35D15">
              <w:t xml:space="preserve"> of admission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7383E731" w14:textId="77777777" w:rsidR="00570104" w:rsidRPr="00DF3112" w:rsidRDefault="00570104" w:rsidP="00A518BC"/>
        </w:tc>
      </w:tr>
      <w:tr w:rsidR="00F77AA0" w14:paraId="0BC122E6" w14:textId="77777777" w:rsidTr="00F77AA0">
        <w:tc>
          <w:tcPr>
            <w:tcW w:w="8217" w:type="dxa"/>
            <w:gridSpan w:val="3"/>
            <w:shd w:val="clear" w:color="auto" w:fill="FBE4D5" w:themeFill="accent2" w:themeFillTint="33"/>
          </w:tcPr>
          <w:p w14:paraId="314F8F03" w14:textId="44D27D9E" w:rsidR="00F77AA0" w:rsidRDefault="00F77AA0" w:rsidP="00CF0696">
            <w:pPr>
              <w:rPr>
                <w:b/>
                <w:bCs/>
              </w:rPr>
            </w:pPr>
            <w:r w:rsidRPr="00F77AA0"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 w:rsidRPr="00F77AA0">
              <w:rPr>
                <w:b/>
                <w:bCs/>
              </w:rPr>
              <w:t xml:space="preserve"> – Criteria 2: </w:t>
            </w:r>
          </w:p>
          <w:p w14:paraId="7BB895C0" w14:textId="32D9EB7B" w:rsidR="00F77AA0" w:rsidRPr="00F77AA0" w:rsidRDefault="00F77AA0" w:rsidP="00F77AA0">
            <w:r w:rsidRPr="00F77AA0">
              <w:t xml:space="preserve">Is there an individualised plan of care which includes </w:t>
            </w:r>
            <w:proofErr w:type="gramStart"/>
            <w:r w:rsidRPr="00F77AA0">
              <w:t>all of</w:t>
            </w:r>
            <w:proofErr w:type="gramEnd"/>
            <w:r w:rsidRPr="00F77AA0">
              <w:t xml:space="preserve"> the following:</w:t>
            </w:r>
          </w:p>
        </w:tc>
        <w:tc>
          <w:tcPr>
            <w:tcW w:w="1139" w:type="dxa"/>
            <w:shd w:val="clear" w:color="auto" w:fill="FFFFFF" w:themeFill="background1"/>
          </w:tcPr>
          <w:p w14:paraId="0B102215" w14:textId="04F83881" w:rsidR="00F77AA0" w:rsidRDefault="0003642D" w:rsidP="00F77AA0">
            <w:pPr>
              <w:rPr>
                <w:b/>
                <w:bCs/>
                <w:sz w:val="18"/>
                <w:szCs w:val="18"/>
              </w:rPr>
            </w:pPr>
            <w:r w:rsidRPr="00EA1A68">
              <w:rPr>
                <w:b/>
                <w:bCs/>
                <w:sz w:val="18"/>
                <w:szCs w:val="18"/>
              </w:rPr>
              <w:t>Achieved</w:t>
            </w:r>
          </w:p>
          <w:p w14:paraId="5F2E3C03" w14:textId="29C52459" w:rsidR="0003642D" w:rsidRPr="00DF3112" w:rsidRDefault="0003642D" w:rsidP="00F77AA0"/>
        </w:tc>
      </w:tr>
      <w:tr w:rsidR="00C234F4" w14:paraId="0C1FAB59" w14:textId="77777777" w:rsidTr="00F77AA0">
        <w:tc>
          <w:tcPr>
            <w:tcW w:w="1807" w:type="dxa"/>
            <w:shd w:val="clear" w:color="auto" w:fill="FBE4D5" w:themeFill="accent2" w:themeFillTint="33"/>
          </w:tcPr>
          <w:p w14:paraId="09E7B8DB" w14:textId="23FD277C" w:rsidR="00C234F4" w:rsidRPr="00641C35" w:rsidRDefault="00641C35" w:rsidP="00A518BC">
            <w:pPr>
              <w:rPr>
                <w:b/>
                <w:bCs/>
              </w:rPr>
            </w:pPr>
            <w:r>
              <w:rPr>
                <w:b/>
                <w:bCs/>
              </w:rPr>
              <w:t>Domain</w:t>
            </w:r>
          </w:p>
        </w:tc>
        <w:tc>
          <w:tcPr>
            <w:tcW w:w="6410" w:type="dxa"/>
            <w:gridSpan w:val="2"/>
            <w:shd w:val="clear" w:color="auto" w:fill="FBE4D5" w:themeFill="accent2" w:themeFillTint="33"/>
          </w:tcPr>
          <w:p w14:paraId="19AB5698" w14:textId="597C8A3C" w:rsidR="00C234F4" w:rsidRPr="00DF3112" w:rsidRDefault="00641C35" w:rsidP="00A518BC">
            <w:r>
              <w:t>Data Item</w:t>
            </w:r>
          </w:p>
        </w:tc>
        <w:tc>
          <w:tcPr>
            <w:tcW w:w="1139" w:type="dxa"/>
          </w:tcPr>
          <w:p w14:paraId="5D25BF10" w14:textId="77777777" w:rsidR="00C234F4" w:rsidRPr="00DF3112" w:rsidRDefault="00C234F4" w:rsidP="00A518BC"/>
        </w:tc>
      </w:tr>
      <w:tr w:rsidR="004C654B" w14:paraId="5028FB62" w14:textId="6E355570" w:rsidTr="00F77AA0">
        <w:tc>
          <w:tcPr>
            <w:tcW w:w="1807" w:type="dxa"/>
            <w:vMerge w:val="restart"/>
            <w:shd w:val="clear" w:color="auto" w:fill="FBE4D5" w:themeFill="accent2" w:themeFillTint="33"/>
          </w:tcPr>
          <w:p w14:paraId="106CBE2F" w14:textId="6D9FE7E2" w:rsidR="004C654B" w:rsidRPr="00EA60AE" w:rsidRDefault="004C654B" w:rsidP="004C654B">
            <w:pPr>
              <w:rPr>
                <w:b/>
                <w:bCs/>
              </w:rPr>
            </w:pPr>
            <w:r>
              <w:rPr>
                <w:b/>
                <w:bCs/>
              </w:rPr>
              <w:t>Plan of care</w:t>
            </w:r>
            <w:r w:rsidR="00227071">
              <w:rPr>
                <w:b/>
                <w:bCs/>
              </w:rPr>
              <w:t xml:space="preserve"> </w:t>
            </w:r>
            <w:r w:rsidR="00227071">
              <w:rPr>
                <w:b/>
                <w:bCs/>
                <w:vertAlign w:val="superscript"/>
              </w:rPr>
              <w:t>b</w:t>
            </w:r>
          </w:p>
        </w:tc>
        <w:tc>
          <w:tcPr>
            <w:tcW w:w="6410" w:type="dxa"/>
            <w:gridSpan w:val="2"/>
            <w:shd w:val="clear" w:color="auto" w:fill="FBE4D5" w:themeFill="accent2" w:themeFillTint="33"/>
          </w:tcPr>
          <w:p w14:paraId="36C8CB38" w14:textId="48FB8A82" w:rsidR="004C654B" w:rsidRPr="00DF3112" w:rsidRDefault="004C654B" w:rsidP="004C654B">
            <w:r w:rsidRPr="00D8689E">
              <w:rPr>
                <w:rFonts w:eastAsia="Calibri"/>
              </w:rPr>
              <w:t>Risk and skin assessment outcomes</w:t>
            </w:r>
          </w:p>
        </w:tc>
        <w:tc>
          <w:tcPr>
            <w:tcW w:w="1139" w:type="dxa"/>
          </w:tcPr>
          <w:p w14:paraId="1BB18E87" w14:textId="77777777" w:rsidR="004C654B" w:rsidRPr="00DF3112" w:rsidRDefault="004C654B" w:rsidP="004C654B"/>
        </w:tc>
      </w:tr>
      <w:tr w:rsidR="004C654B" w14:paraId="689897D6" w14:textId="3411F8FC" w:rsidTr="00F77AA0">
        <w:tc>
          <w:tcPr>
            <w:tcW w:w="1807" w:type="dxa"/>
            <w:vMerge/>
            <w:shd w:val="clear" w:color="auto" w:fill="FBE4D5" w:themeFill="accent2" w:themeFillTint="33"/>
          </w:tcPr>
          <w:p w14:paraId="7F5C60A6" w14:textId="77777777" w:rsidR="004C654B" w:rsidRPr="00E64493" w:rsidRDefault="004C654B" w:rsidP="004C654B">
            <w:pPr>
              <w:rPr>
                <w:b/>
                <w:bCs/>
              </w:rPr>
            </w:pPr>
          </w:p>
        </w:tc>
        <w:tc>
          <w:tcPr>
            <w:tcW w:w="6410" w:type="dxa"/>
            <w:gridSpan w:val="2"/>
            <w:shd w:val="clear" w:color="auto" w:fill="FBE4D5" w:themeFill="accent2" w:themeFillTint="33"/>
          </w:tcPr>
          <w:p w14:paraId="15F4BA37" w14:textId="3A6EBD1E" w:rsidR="004C654B" w:rsidRPr="00DF3112" w:rsidRDefault="004C654B" w:rsidP="004C654B">
            <w:r w:rsidRPr="00D8689E">
              <w:rPr>
                <w:rFonts w:eastAsia="Calibri"/>
              </w:rPr>
              <w:t>Recommendations about pressure relief at specific at-risk sites</w:t>
            </w:r>
          </w:p>
        </w:tc>
        <w:tc>
          <w:tcPr>
            <w:tcW w:w="1139" w:type="dxa"/>
          </w:tcPr>
          <w:p w14:paraId="2213B82F" w14:textId="77777777" w:rsidR="004C654B" w:rsidRPr="00DF3112" w:rsidRDefault="004C654B" w:rsidP="004C654B"/>
        </w:tc>
      </w:tr>
      <w:tr w:rsidR="004C654B" w14:paraId="4AFFAF33" w14:textId="2EE37E6C" w:rsidTr="00F77AA0">
        <w:tc>
          <w:tcPr>
            <w:tcW w:w="1807" w:type="dxa"/>
            <w:vMerge/>
            <w:shd w:val="clear" w:color="auto" w:fill="FBE4D5" w:themeFill="accent2" w:themeFillTint="33"/>
          </w:tcPr>
          <w:p w14:paraId="4B205EC6" w14:textId="77777777" w:rsidR="004C654B" w:rsidRPr="00E64493" w:rsidRDefault="004C654B" w:rsidP="004C654B">
            <w:pPr>
              <w:rPr>
                <w:b/>
                <w:bCs/>
              </w:rPr>
            </w:pPr>
          </w:p>
        </w:tc>
        <w:tc>
          <w:tcPr>
            <w:tcW w:w="6410" w:type="dxa"/>
            <w:gridSpan w:val="2"/>
            <w:shd w:val="clear" w:color="auto" w:fill="FBE4D5" w:themeFill="accent2" w:themeFillTint="33"/>
          </w:tcPr>
          <w:p w14:paraId="33E09D4F" w14:textId="3C1F5C09" w:rsidR="004C654B" w:rsidRPr="00DB2DAF" w:rsidRDefault="004C654B" w:rsidP="004C654B">
            <w:pPr>
              <w:rPr>
                <w:vertAlign w:val="superscript"/>
              </w:rPr>
            </w:pPr>
            <w:r w:rsidRPr="00D8689E">
              <w:rPr>
                <w:rFonts w:eastAsia="Calibri"/>
              </w:rPr>
              <w:t xml:space="preserve">Mobility and need to reposition the patient; </w:t>
            </w:r>
          </w:p>
        </w:tc>
        <w:tc>
          <w:tcPr>
            <w:tcW w:w="1139" w:type="dxa"/>
          </w:tcPr>
          <w:p w14:paraId="7CF715CA" w14:textId="77777777" w:rsidR="004C654B" w:rsidRPr="00DF3112" w:rsidRDefault="004C654B" w:rsidP="004C654B"/>
        </w:tc>
      </w:tr>
      <w:tr w:rsidR="004C654B" w14:paraId="370800AD" w14:textId="07B8DE8E" w:rsidTr="00F77AA0">
        <w:tc>
          <w:tcPr>
            <w:tcW w:w="1807" w:type="dxa"/>
            <w:vMerge/>
            <w:shd w:val="clear" w:color="auto" w:fill="FBE4D5" w:themeFill="accent2" w:themeFillTint="33"/>
          </w:tcPr>
          <w:p w14:paraId="33BA6F51" w14:textId="77777777" w:rsidR="004C654B" w:rsidRPr="00E64493" w:rsidRDefault="004C654B" w:rsidP="004C654B">
            <w:pPr>
              <w:rPr>
                <w:b/>
                <w:bCs/>
              </w:rPr>
            </w:pPr>
          </w:p>
        </w:tc>
        <w:tc>
          <w:tcPr>
            <w:tcW w:w="6410" w:type="dxa"/>
            <w:gridSpan w:val="2"/>
            <w:shd w:val="clear" w:color="auto" w:fill="FBE4D5" w:themeFill="accent2" w:themeFillTint="33"/>
          </w:tcPr>
          <w:p w14:paraId="124D3572" w14:textId="2BC8E136" w:rsidR="004C654B" w:rsidRPr="00C24A3E" w:rsidRDefault="004C654B" w:rsidP="004C654B">
            <w:pPr>
              <w:rPr>
                <w:vertAlign w:val="superscript"/>
              </w:rPr>
            </w:pPr>
            <w:r w:rsidRPr="00D8689E">
              <w:rPr>
                <w:rFonts w:eastAsia="Calibri"/>
              </w:rPr>
              <w:t xml:space="preserve">Comorbidities; </w:t>
            </w:r>
          </w:p>
        </w:tc>
        <w:tc>
          <w:tcPr>
            <w:tcW w:w="1139" w:type="dxa"/>
          </w:tcPr>
          <w:p w14:paraId="1901812C" w14:textId="77777777" w:rsidR="004C654B" w:rsidRPr="00DF3112" w:rsidRDefault="004C654B" w:rsidP="004C654B"/>
        </w:tc>
      </w:tr>
      <w:tr w:rsidR="004C654B" w14:paraId="2184C805" w14:textId="31E63B44" w:rsidTr="00F77AA0">
        <w:tc>
          <w:tcPr>
            <w:tcW w:w="1807" w:type="dxa"/>
            <w:vMerge/>
            <w:shd w:val="clear" w:color="auto" w:fill="FBE4D5" w:themeFill="accent2" w:themeFillTint="33"/>
          </w:tcPr>
          <w:p w14:paraId="61A2D60B" w14:textId="77777777" w:rsidR="004C654B" w:rsidRPr="00E64493" w:rsidRDefault="004C654B" w:rsidP="004C654B">
            <w:pPr>
              <w:rPr>
                <w:b/>
                <w:bCs/>
              </w:rPr>
            </w:pPr>
          </w:p>
        </w:tc>
        <w:tc>
          <w:tcPr>
            <w:tcW w:w="6410" w:type="dxa"/>
            <w:gridSpan w:val="2"/>
            <w:shd w:val="clear" w:color="auto" w:fill="FBE4D5" w:themeFill="accent2" w:themeFillTint="33"/>
          </w:tcPr>
          <w:p w14:paraId="3EFA4062" w14:textId="5474B067" w:rsidR="004C654B" w:rsidRPr="003E6D4A" w:rsidRDefault="004C654B" w:rsidP="004C654B">
            <w:pPr>
              <w:rPr>
                <w:vertAlign w:val="superscript"/>
              </w:rPr>
            </w:pPr>
            <w:r w:rsidRPr="00D8689E">
              <w:rPr>
                <w:rFonts w:eastAsia="Calibri"/>
              </w:rPr>
              <w:t>Patient preference</w:t>
            </w:r>
          </w:p>
        </w:tc>
        <w:tc>
          <w:tcPr>
            <w:tcW w:w="1139" w:type="dxa"/>
          </w:tcPr>
          <w:p w14:paraId="4BF02590" w14:textId="77777777" w:rsidR="004C654B" w:rsidRPr="00DF3112" w:rsidRDefault="004C654B" w:rsidP="004C654B"/>
        </w:tc>
      </w:tr>
      <w:tr w:rsidR="00964794" w14:paraId="2C8C9E94" w14:textId="77777777" w:rsidTr="00F77AA0">
        <w:tc>
          <w:tcPr>
            <w:tcW w:w="1807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209802C" w14:textId="26FF4BA8" w:rsidR="00964794" w:rsidRPr="00E64493" w:rsidRDefault="00964794" w:rsidP="00A518BC">
            <w:pPr>
              <w:rPr>
                <w:b/>
                <w:bCs/>
              </w:rPr>
            </w:pPr>
            <w:r>
              <w:rPr>
                <w:b/>
                <w:bCs/>
              </w:rPr>
              <w:t>Timeliness</w:t>
            </w:r>
          </w:p>
        </w:tc>
        <w:tc>
          <w:tcPr>
            <w:tcW w:w="641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186D713" w14:textId="1106BCC1" w:rsidR="00964794" w:rsidRPr="00C35D15" w:rsidRDefault="00CF0696" w:rsidP="00A518BC">
            <w:r>
              <w:t>C</w:t>
            </w:r>
            <w:r w:rsidR="00C35D15">
              <w:t>are plan completed within 24 hours of admission</w:t>
            </w:r>
          </w:p>
        </w:tc>
        <w:tc>
          <w:tcPr>
            <w:tcW w:w="1139" w:type="dxa"/>
          </w:tcPr>
          <w:p w14:paraId="6CF5CB7E" w14:textId="77777777" w:rsidR="00964794" w:rsidRPr="00A007C8" w:rsidRDefault="00964794" w:rsidP="00A518BC"/>
        </w:tc>
      </w:tr>
      <w:tr w:rsidR="0003642D" w14:paraId="4596C281" w14:textId="77777777" w:rsidTr="0003642D">
        <w:trPr>
          <w:trHeight w:val="274"/>
        </w:trPr>
        <w:tc>
          <w:tcPr>
            <w:tcW w:w="8217" w:type="dxa"/>
            <w:gridSpan w:val="3"/>
            <w:vMerge w:val="restart"/>
            <w:shd w:val="clear" w:color="auto" w:fill="E2EFD9" w:themeFill="accent6" w:themeFillTint="33"/>
          </w:tcPr>
          <w:p w14:paraId="2A7F2E8B" w14:textId="167EFF7F" w:rsidR="0003642D" w:rsidRDefault="0003642D" w:rsidP="009C68E1">
            <w:pPr>
              <w:rPr>
                <w:b/>
                <w:bCs/>
              </w:rPr>
            </w:pPr>
            <w:r w:rsidRPr="00380215"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 w:rsidRPr="003802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380215">
              <w:rPr>
                <w:b/>
                <w:bCs/>
              </w:rPr>
              <w:t xml:space="preserve"> Criteria</w:t>
            </w:r>
            <w:r>
              <w:rPr>
                <w:b/>
                <w:bCs/>
              </w:rPr>
              <w:t xml:space="preserve"> 3: </w:t>
            </w:r>
          </w:p>
          <w:p w14:paraId="6BE25FCD" w14:textId="5694EE1A" w:rsidR="0003642D" w:rsidRPr="00380215" w:rsidRDefault="0003642D" w:rsidP="009C68E1">
            <w:pPr>
              <w:rPr>
                <w:b/>
                <w:bCs/>
              </w:rPr>
            </w:pPr>
            <w:r w:rsidRPr="009C68E1">
              <w:rPr>
                <w:rFonts w:eastAsia="Calibri"/>
              </w:rPr>
              <w:t>Actions to manage the risks identified by the pressure ulcer risk assessment are documented by clinical staff</w:t>
            </w:r>
            <w:r>
              <w:rPr>
                <w:rFonts w:eastAsia="Calibri"/>
              </w:rPr>
              <w:t xml:space="preserve"> within 24 hours of admission</w:t>
            </w:r>
          </w:p>
        </w:tc>
        <w:tc>
          <w:tcPr>
            <w:tcW w:w="1139" w:type="dxa"/>
            <w:shd w:val="clear" w:color="auto" w:fill="auto"/>
          </w:tcPr>
          <w:p w14:paraId="5EE3007E" w14:textId="4A43E56B" w:rsidR="0003642D" w:rsidRPr="00380215" w:rsidRDefault="0003642D" w:rsidP="009C68E1">
            <w:pPr>
              <w:rPr>
                <w:b/>
                <w:bCs/>
              </w:rPr>
            </w:pPr>
            <w:r w:rsidRPr="00EA1A68">
              <w:rPr>
                <w:b/>
                <w:bCs/>
                <w:sz w:val="18"/>
                <w:szCs w:val="18"/>
              </w:rPr>
              <w:t>Achieved</w:t>
            </w:r>
          </w:p>
        </w:tc>
      </w:tr>
      <w:tr w:rsidR="0003642D" w14:paraId="2C23B691" w14:textId="77777777" w:rsidTr="00F77AA0">
        <w:trPr>
          <w:trHeight w:val="405"/>
        </w:trPr>
        <w:tc>
          <w:tcPr>
            <w:tcW w:w="8217" w:type="dxa"/>
            <w:gridSpan w:val="3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CC551D9" w14:textId="77777777" w:rsidR="0003642D" w:rsidRPr="00380215" w:rsidRDefault="0003642D" w:rsidP="009C68E1">
            <w:pPr>
              <w:rPr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</w:tcPr>
          <w:p w14:paraId="18E1DE8E" w14:textId="77777777" w:rsidR="0003642D" w:rsidRPr="00EA1A68" w:rsidRDefault="0003642D" w:rsidP="009C68E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3642D" w14:paraId="5AF7975C" w14:textId="77777777" w:rsidTr="0003642D">
        <w:trPr>
          <w:trHeight w:val="158"/>
        </w:trPr>
        <w:tc>
          <w:tcPr>
            <w:tcW w:w="8217" w:type="dxa"/>
            <w:gridSpan w:val="3"/>
            <w:vMerge w:val="restart"/>
            <w:shd w:val="clear" w:color="auto" w:fill="FFF2CC" w:themeFill="accent4" w:themeFillTint="33"/>
          </w:tcPr>
          <w:p w14:paraId="07C20E09" w14:textId="5C90EEBA" w:rsidR="0003642D" w:rsidRDefault="0003642D" w:rsidP="009C68E1">
            <w:pPr>
              <w:rPr>
                <w:b/>
                <w:bCs/>
              </w:rPr>
            </w:pPr>
            <w:r w:rsidRPr="00380215"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 w:rsidRPr="003802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380215">
              <w:rPr>
                <w:b/>
                <w:bCs/>
              </w:rPr>
              <w:t xml:space="preserve"> Criteria</w:t>
            </w:r>
            <w:r>
              <w:rPr>
                <w:b/>
                <w:bCs/>
              </w:rPr>
              <w:t xml:space="preserve"> 4: </w:t>
            </w:r>
          </w:p>
          <w:p w14:paraId="67B90791" w14:textId="77777777" w:rsidR="0003642D" w:rsidRDefault="0003642D" w:rsidP="009C68E1">
            <w:pPr>
              <w:rPr>
                <w:rFonts w:eastAsia="Calibri"/>
              </w:rPr>
            </w:pPr>
            <w:r w:rsidRPr="00A87463">
              <w:t>Evidence of</w:t>
            </w:r>
            <w:r w:rsidRPr="30B0BAA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reassessment </w:t>
            </w:r>
            <w:r w:rsidRPr="30B0BAA3">
              <w:rPr>
                <w:rFonts w:eastAsia="Calibri"/>
              </w:rPr>
              <w:t>at least every 30 days of the patient spell</w:t>
            </w:r>
          </w:p>
          <w:p w14:paraId="62466E2C" w14:textId="3BC3F5CA" w:rsidR="0003642D" w:rsidRPr="0030761E" w:rsidRDefault="0003642D" w:rsidP="009C68E1"/>
        </w:tc>
        <w:tc>
          <w:tcPr>
            <w:tcW w:w="1139" w:type="dxa"/>
            <w:shd w:val="clear" w:color="auto" w:fill="auto"/>
          </w:tcPr>
          <w:p w14:paraId="00872087" w14:textId="03E67931" w:rsidR="0003642D" w:rsidRPr="0030761E" w:rsidRDefault="0003642D" w:rsidP="0003642D">
            <w:r w:rsidRPr="00EA1A68">
              <w:rPr>
                <w:b/>
                <w:bCs/>
                <w:sz w:val="18"/>
                <w:szCs w:val="18"/>
              </w:rPr>
              <w:t>Achieved</w:t>
            </w:r>
          </w:p>
        </w:tc>
      </w:tr>
      <w:tr w:rsidR="0003642D" w14:paraId="063B03D3" w14:textId="77777777" w:rsidTr="00F77AA0">
        <w:trPr>
          <w:trHeight w:val="270"/>
        </w:trPr>
        <w:tc>
          <w:tcPr>
            <w:tcW w:w="8217" w:type="dxa"/>
            <w:gridSpan w:val="3"/>
            <w:vMerge/>
            <w:shd w:val="clear" w:color="auto" w:fill="FFF2CC" w:themeFill="accent4" w:themeFillTint="33"/>
          </w:tcPr>
          <w:p w14:paraId="450D1497" w14:textId="77777777" w:rsidR="0003642D" w:rsidRPr="00380215" w:rsidRDefault="0003642D" w:rsidP="009C68E1">
            <w:pPr>
              <w:rPr>
                <w:b/>
                <w:bCs/>
              </w:rPr>
            </w:pPr>
          </w:p>
        </w:tc>
        <w:tc>
          <w:tcPr>
            <w:tcW w:w="1139" w:type="dxa"/>
            <w:shd w:val="clear" w:color="auto" w:fill="auto"/>
          </w:tcPr>
          <w:p w14:paraId="21DBBEFF" w14:textId="77777777" w:rsidR="0003642D" w:rsidRPr="00EA1A68" w:rsidRDefault="0003642D" w:rsidP="009C68E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82B0F" w14:paraId="40A1657C" w14:textId="77777777" w:rsidTr="00DE001F">
        <w:tc>
          <w:tcPr>
            <w:tcW w:w="9356" w:type="dxa"/>
            <w:gridSpan w:val="4"/>
            <w:shd w:val="clear" w:color="auto" w:fill="D9E2F3" w:themeFill="accent1" w:themeFillTint="33"/>
          </w:tcPr>
          <w:p w14:paraId="446DBABB" w14:textId="2F1D9640" w:rsidR="00782B0F" w:rsidRPr="0003642D" w:rsidRDefault="00782B0F" w:rsidP="009C68E1">
            <w:pPr>
              <w:rPr>
                <w:b/>
                <w:bCs/>
              </w:rPr>
            </w:pPr>
            <w:r w:rsidRPr="0003642D">
              <w:rPr>
                <w:b/>
                <w:bCs/>
              </w:rPr>
              <w:t>Outcome</w:t>
            </w:r>
            <w:r w:rsidR="00FE5ECD" w:rsidRPr="0003642D">
              <w:rPr>
                <w:b/>
                <w:bCs/>
              </w:rPr>
              <w:t>s</w:t>
            </w:r>
          </w:p>
        </w:tc>
      </w:tr>
      <w:tr w:rsidR="00A518BC" w14:paraId="4F14A120" w14:textId="77777777" w:rsidTr="00F77AA0">
        <w:tc>
          <w:tcPr>
            <w:tcW w:w="8217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83359FB" w14:textId="44A4F7E5" w:rsidR="00A518BC" w:rsidRDefault="00A518BC" w:rsidP="00A518BC">
            <w:r w:rsidRPr="00A518BC"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 w:rsidRPr="00A518BC">
              <w:rPr>
                <w:b/>
                <w:bCs/>
              </w:rPr>
              <w:t xml:space="preserve"> - Criteria 1:  </w:t>
            </w:r>
            <w:r w:rsidRPr="00A518BC">
              <w:t xml:space="preserve">All </w:t>
            </w:r>
            <w:r w:rsidR="0049435F">
              <w:t xml:space="preserve">risk assessment criteria </w:t>
            </w:r>
            <w:r>
              <w:t>a</w:t>
            </w:r>
            <w:r w:rsidR="00922EAE">
              <w:t>chieved</w:t>
            </w:r>
            <w:r>
              <w:t>.</w:t>
            </w:r>
          </w:p>
          <w:p w14:paraId="5FFFB5E2" w14:textId="4683C542" w:rsidR="00A518BC" w:rsidRDefault="00A518BC" w:rsidP="00A518BC"/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A326CF" w14:textId="71EB03DA" w:rsidR="00A518BC" w:rsidRPr="00F77AA0" w:rsidRDefault="00A518BC" w:rsidP="00A518BC"/>
        </w:tc>
      </w:tr>
      <w:tr w:rsidR="00A518BC" w14:paraId="67321CDF" w14:textId="23314D02" w:rsidTr="00F77AA0">
        <w:tc>
          <w:tcPr>
            <w:tcW w:w="8217" w:type="dxa"/>
            <w:gridSpan w:val="3"/>
            <w:shd w:val="clear" w:color="auto" w:fill="FBE4D5" w:themeFill="accent2" w:themeFillTint="33"/>
          </w:tcPr>
          <w:p w14:paraId="51B656F5" w14:textId="7203CEA4" w:rsidR="00A518BC" w:rsidRDefault="00A518BC" w:rsidP="00A518BC">
            <w:pPr>
              <w:rPr>
                <w:b/>
                <w:bCs/>
              </w:rPr>
            </w:pPr>
            <w:r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- Criteria 2:  </w:t>
            </w:r>
            <w:r w:rsidR="009940C1" w:rsidRPr="0003642D">
              <w:t>Where risk was identified a plan of care was in place</w:t>
            </w:r>
          </w:p>
          <w:p w14:paraId="26128110" w14:textId="3AA11BDA" w:rsidR="00CF0696" w:rsidRDefault="00CF0696" w:rsidP="00A518BC"/>
        </w:tc>
        <w:tc>
          <w:tcPr>
            <w:tcW w:w="1139" w:type="dxa"/>
            <w:shd w:val="clear" w:color="auto" w:fill="FFFFFF" w:themeFill="background1"/>
          </w:tcPr>
          <w:p w14:paraId="133A5625" w14:textId="07BE2EB5" w:rsidR="00A518BC" w:rsidRPr="00F77AA0" w:rsidRDefault="00A518BC" w:rsidP="00A518BC"/>
        </w:tc>
      </w:tr>
      <w:tr w:rsidR="00A518BC" w14:paraId="361C0279" w14:textId="51ADB99D" w:rsidTr="00F77AA0">
        <w:tc>
          <w:tcPr>
            <w:tcW w:w="8217" w:type="dxa"/>
            <w:gridSpan w:val="3"/>
            <w:shd w:val="clear" w:color="auto" w:fill="E2EFD9" w:themeFill="accent6" w:themeFillTint="33"/>
          </w:tcPr>
          <w:p w14:paraId="1EA167CF" w14:textId="0DADFDC2" w:rsidR="00A518BC" w:rsidRDefault="00A518BC" w:rsidP="00A518BC">
            <w:r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- Criteria 3:  </w:t>
            </w:r>
            <w:r>
              <w:t xml:space="preserve"> </w:t>
            </w:r>
            <w:r w:rsidR="009940C1">
              <w:t>Where risk was identified there was evidence of actions being undertaken and documented in line with the plan of care</w:t>
            </w:r>
          </w:p>
        </w:tc>
        <w:tc>
          <w:tcPr>
            <w:tcW w:w="1139" w:type="dxa"/>
            <w:shd w:val="clear" w:color="auto" w:fill="FFFFFF" w:themeFill="background1"/>
          </w:tcPr>
          <w:p w14:paraId="60C10B84" w14:textId="675ABA13" w:rsidR="00A518BC" w:rsidRPr="00F77AA0" w:rsidRDefault="00A518BC" w:rsidP="00A518BC"/>
        </w:tc>
      </w:tr>
      <w:tr w:rsidR="00A5625B" w14:paraId="5E351014" w14:textId="77777777" w:rsidTr="00F77AA0">
        <w:tc>
          <w:tcPr>
            <w:tcW w:w="8217" w:type="dxa"/>
            <w:gridSpan w:val="3"/>
            <w:shd w:val="clear" w:color="auto" w:fill="FFF2CC" w:themeFill="accent4" w:themeFillTint="33"/>
          </w:tcPr>
          <w:p w14:paraId="695836C3" w14:textId="242E13B7" w:rsidR="00A5625B" w:rsidRDefault="00A5625B" w:rsidP="00A518BC">
            <w:pPr>
              <w:rPr>
                <w:b/>
                <w:bCs/>
              </w:rPr>
            </w:pPr>
            <w:r w:rsidRPr="00380215">
              <w:rPr>
                <w:b/>
                <w:bCs/>
              </w:rPr>
              <w:t>CQUIN CCG1</w:t>
            </w:r>
            <w:r w:rsidR="00DF0E36">
              <w:rPr>
                <w:b/>
                <w:bCs/>
              </w:rPr>
              <w:t>2</w:t>
            </w:r>
            <w:r w:rsidRPr="0038021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Pr="00380215">
              <w:rPr>
                <w:b/>
                <w:bCs/>
              </w:rPr>
              <w:t xml:space="preserve"> Criteria</w:t>
            </w:r>
            <w:r>
              <w:rPr>
                <w:b/>
                <w:bCs/>
              </w:rPr>
              <w:t xml:space="preserve"> 4: </w:t>
            </w:r>
            <w:r w:rsidRPr="0003642D">
              <w:t>Where the patient admission was longer than 30 days there was evidence of re</w:t>
            </w:r>
            <w:r w:rsidR="00F77AA0" w:rsidRPr="0003642D">
              <w:t>-</w:t>
            </w:r>
            <w:r w:rsidRPr="0003642D">
              <w:t>assessment of pressure ulcer risk</w:t>
            </w:r>
            <w:r w:rsidR="00F740B2" w:rsidRPr="0003642D">
              <w:t xml:space="preserve"> including a skin assessment.</w:t>
            </w:r>
          </w:p>
        </w:tc>
        <w:tc>
          <w:tcPr>
            <w:tcW w:w="1139" w:type="dxa"/>
            <w:shd w:val="clear" w:color="auto" w:fill="FFFFFF" w:themeFill="background1"/>
          </w:tcPr>
          <w:p w14:paraId="7839D88A" w14:textId="77777777" w:rsidR="00A5625B" w:rsidRPr="00CF0696" w:rsidRDefault="00A5625B" w:rsidP="00A518BC"/>
        </w:tc>
      </w:tr>
      <w:tr w:rsidR="00A518BC" w14:paraId="24DA0F5E" w14:textId="77777777" w:rsidTr="00A518BC">
        <w:tc>
          <w:tcPr>
            <w:tcW w:w="821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5717AF1" w14:textId="77777777" w:rsidR="00A518BC" w:rsidRDefault="00A518BC" w:rsidP="00A518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ALL CQUIN Criteria achieved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67830A" w14:textId="77777777" w:rsidR="00A518BC" w:rsidRDefault="00A518BC" w:rsidP="00A518BC">
            <w:pPr>
              <w:jc w:val="right"/>
              <w:rPr>
                <w:b/>
                <w:bCs/>
              </w:rPr>
            </w:pPr>
          </w:p>
          <w:p w14:paraId="404EDA9A" w14:textId="05E00D36" w:rsidR="00A518BC" w:rsidRDefault="00A518BC" w:rsidP="00A518BC">
            <w:pPr>
              <w:jc w:val="right"/>
              <w:rPr>
                <w:b/>
                <w:bCs/>
              </w:rPr>
            </w:pPr>
          </w:p>
        </w:tc>
      </w:tr>
    </w:tbl>
    <w:p w14:paraId="1588ADA8" w14:textId="2E91E264" w:rsidR="00E270CE" w:rsidRDefault="00E270CE" w:rsidP="00DB2DAF">
      <w:pPr>
        <w:pStyle w:val="Heading2"/>
      </w:pPr>
    </w:p>
    <w:p w14:paraId="405F3E59" w14:textId="77777777" w:rsidR="008E0F72" w:rsidRPr="008E0F72" w:rsidRDefault="008E0F72" w:rsidP="008E0F72"/>
    <w:p w14:paraId="6B9B6D93" w14:textId="77777777" w:rsidR="002C455C" w:rsidRDefault="002C455C" w:rsidP="00DB2DAF">
      <w:pPr>
        <w:pStyle w:val="Heading2"/>
        <w:sectPr w:rsidR="002C455C" w:rsidSect="002C455C">
          <w:headerReference w:type="default" r:id="rId8"/>
          <w:headerReference w:type="first" r:id="rId9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2CFD2B57" w14:textId="4B85E54E" w:rsidR="000970C2" w:rsidRDefault="008B4A65" w:rsidP="008A06D7">
      <w:pPr>
        <w:pStyle w:val="Heading2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965D4A" wp14:editId="615F3002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570547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D3AE1" w14:textId="09F3EFC1" w:rsidR="008B4A65" w:rsidRDefault="008B4A65" w:rsidP="008B4A65">
                            <w:pPr>
                              <w:suppressOverlap/>
                            </w:pPr>
                            <w:r w:rsidRPr="00F77AA0">
                              <w:rPr>
                                <w:b/>
                                <w:bCs/>
                              </w:rPr>
                              <w:t>CQUIN CCG1</w:t>
                            </w:r>
                            <w:r w:rsidR="00DF0E36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F77AA0">
                              <w:rPr>
                                <w:b/>
                                <w:bCs/>
                              </w:rPr>
                              <w:t xml:space="preserve"> - Criteria 1:  </w:t>
                            </w:r>
                            <w:r w:rsidRPr="005921C9">
                              <w:t xml:space="preserve"> Documentation of a full </w:t>
                            </w:r>
                            <w:r w:rsidRPr="00F77AA0">
                              <w:rPr>
                                <w:rFonts w:eastAsia="Calibri"/>
                              </w:rPr>
                              <w:t>pressure ulcer 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965D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05pt;margin-top:30pt;width:449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" fillcolor="#d9e2f3 [660]">
                <v:textbox style="mso-fit-shape-to-text:t">
                  <w:txbxContent>
                    <w:p w14:paraId="102D3AE1" w14:textId="09F3EFC1" w:rsidR="008B4A65" w:rsidRDefault="008B4A65" w:rsidP="008B4A65">
                      <w:pPr>
                        <w:suppressOverlap/>
                      </w:pPr>
                      <w:r w:rsidRPr="00F77AA0">
                        <w:rPr>
                          <w:b/>
                          <w:bCs/>
                        </w:rPr>
                        <w:t>CQUIN CCG1</w:t>
                      </w:r>
                      <w:r w:rsidR="00DF0E36">
                        <w:rPr>
                          <w:b/>
                          <w:bCs/>
                        </w:rPr>
                        <w:t>2</w:t>
                      </w:r>
                      <w:r w:rsidRPr="00F77AA0">
                        <w:rPr>
                          <w:b/>
                          <w:bCs/>
                        </w:rPr>
                        <w:t xml:space="preserve"> - Criteria 1:  </w:t>
                      </w:r>
                      <w:r w:rsidRPr="005921C9">
                        <w:t xml:space="preserve"> Documentation of a full </w:t>
                      </w:r>
                      <w:r w:rsidRPr="00F77AA0">
                        <w:rPr>
                          <w:rFonts w:eastAsia="Calibri"/>
                        </w:rPr>
                        <w:t>pressure ulcer risk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70C2">
        <w:t>Explanatory Notes</w:t>
      </w:r>
    </w:p>
    <w:p w14:paraId="009E0C45" w14:textId="503C649A" w:rsidR="00C779B9" w:rsidRPr="00D47D9F" w:rsidRDefault="00510C4A" w:rsidP="00510C4A">
      <w:pPr>
        <w:rPr>
          <w:rFonts w:cstheme="minorHAnsi"/>
        </w:rPr>
      </w:pPr>
      <w:r w:rsidRPr="00D47D9F">
        <w:rPr>
          <w:rFonts w:cstheme="minorHAnsi"/>
        </w:rPr>
        <w:t xml:space="preserve">The </w:t>
      </w:r>
      <w:r w:rsidR="00AC20AD" w:rsidRPr="00D47D9F">
        <w:rPr>
          <w:rFonts w:cstheme="minorHAnsi"/>
        </w:rPr>
        <w:t xml:space="preserve">Pressure Ulcer Risk assessment </w:t>
      </w:r>
      <w:r w:rsidR="00C74A23" w:rsidRPr="00D47D9F">
        <w:rPr>
          <w:rFonts w:cstheme="minorHAnsi"/>
        </w:rPr>
        <w:t xml:space="preserve">timing has been compiled based on the </w:t>
      </w:r>
      <w:hyperlink r:id="rId10" w:history="1">
        <w:r w:rsidR="00C74A23" w:rsidRPr="00D47D9F">
          <w:rPr>
            <w:rStyle w:val="Hyperlink"/>
            <w:rFonts w:cstheme="minorHAnsi"/>
          </w:rPr>
          <w:t>NICE Quality Standard</w:t>
        </w:r>
      </w:hyperlink>
      <w:r w:rsidR="00C74A23" w:rsidRPr="00D47D9F">
        <w:rPr>
          <w:rFonts w:cstheme="minorHAnsi"/>
        </w:rPr>
        <w:t xml:space="preserve"> for risk assessment</w:t>
      </w:r>
      <w:r w:rsidR="00FC3A02" w:rsidRPr="00D47D9F">
        <w:rPr>
          <w:rFonts w:cstheme="minorHAnsi"/>
        </w:rPr>
        <w:t>:</w:t>
      </w:r>
      <w:r w:rsidR="009E7C4E" w:rsidRPr="00D47D9F">
        <w:rPr>
          <w:rFonts w:cstheme="minorHAnsi"/>
        </w:rPr>
        <w:t xml:space="preserve"> People admitted to hospital or a care home with nursing have a pressure ulcer risk assessment within 6 hours of admission </w:t>
      </w:r>
      <w:r w:rsidR="006B452B" w:rsidRPr="00D47D9F">
        <w:rPr>
          <w:rFonts w:cstheme="minorHAnsi"/>
        </w:rPr>
        <w:t>(Quality Standard 1)</w:t>
      </w:r>
      <w:r w:rsidR="00540947" w:rsidRPr="00D47D9F">
        <w:rPr>
          <w:rFonts w:cstheme="minorHAnsi"/>
        </w:rPr>
        <w:t>.</w:t>
      </w:r>
      <w:r w:rsidR="0056474E" w:rsidRPr="00D47D9F">
        <w:rPr>
          <w:rFonts w:cstheme="minorHAnsi"/>
        </w:rPr>
        <w:t xml:space="preserve"> </w:t>
      </w:r>
    </w:p>
    <w:p w14:paraId="418831E0" w14:textId="4A4962F2" w:rsidR="00C74A23" w:rsidRPr="00D47D9F" w:rsidRDefault="0056474E" w:rsidP="008B4A65">
      <w:pPr>
        <w:rPr>
          <w:rFonts w:cstheme="minorHAnsi"/>
          <w:i/>
          <w:iCs/>
        </w:rPr>
      </w:pPr>
      <w:r w:rsidRPr="00D47D9F">
        <w:rPr>
          <w:rFonts w:cstheme="minorHAnsi"/>
          <w:i/>
          <w:iCs/>
        </w:rPr>
        <w:t xml:space="preserve">These criteria are the minimum that should be recorded in a risk assessment </w:t>
      </w:r>
    </w:p>
    <w:p w14:paraId="7CBE9809" w14:textId="77777777" w:rsidR="00FC3A02" w:rsidRPr="00D47D9F" w:rsidRDefault="008B701E" w:rsidP="008B701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 xml:space="preserve">People considered to be at risk of developing a pressure ulcer are those who, after assessment using clinical judgement and/or a validated risk assessment tool, </w:t>
      </w:r>
      <w:proofErr w:type="gramStart"/>
      <w:r w:rsidRPr="00D47D9F">
        <w:rPr>
          <w:rFonts w:asciiTheme="minorHAnsi" w:hAnsiTheme="minorHAnsi" w:cstheme="minorHAnsi"/>
          <w:sz w:val="22"/>
          <w:szCs w:val="22"/>
        </w:rPr>
        <w:t>are considered to be</w:t>
      </w:r>
      <w:proofErr w:type="gramEnd"/>
      <w:r w:rsidRPr="00D47D9F">
        <w:rPr>
          <w:rFonts w:asciiTheme="minorHAnsi" w:hAnsiTheme="minorHAnsi" w:cstheme="minorHAnsi"/>
          <w:sz w:val="22"/>
          <w:szCs w:val="22"/>
        </w:rPr>
        <w:t xml:space="preserve"> at risk of developing a pressure ulcer. </w:t>
      </w:r>
      <w:r w:rsidR="00A34B7D" w:rsidRPr="00D47D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06B26" w14:textId="07379029" w:rsidR="008B701E" w:rsidRPr="00D47D9F" w:rsidRDefault="00A34B7D" w:rsidP="008B701E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 xml:space="preserve">Based on the International Guideline for </w:t>
      </w:r>
      <w:r w:rsidR="00EE132E" w:rsidRPr="00D47D9F">
        <w:rPr>
          <w:rFonts w:asciiTheme="minorHAnsi" w:hAnsiTheme="minorHAnsi" w:cstheme="minorHAnsi"/>
          <w:sz w:val="22"/>
          <w:szCs w:val="22"/>
        </w:rPr>
        <w:t xml:space="preserve">Pressure Ulcer Prevention </w:t>
      </w:r>
      <w:r w:rsidR="00170FA5" w:rsidRPr="00D47D9F">
        <w:rPr>
          <w:rFonts w:asciiTheme="minorHAnsi" w:hAnsiTheme="minorHAnsi" w:cstheme="minorHAnsi"/>
          <w:sz w:val="22"/>
          <w:szCs w:val="22"/>
        </w:rPr>
        <w:t>(Section 4:</w:t>
      </w:r>
      <w:r w:rsidR="001B479C" w:rsidRPr="00D47D9F">
        <w:rPr>
          <w:rFonts w:asciiTheme="minorHAnsi" w:hAnsiTheme="minorHAnsi" w:cstheme="minorHAnsi"/>
          <w:sz w:val="22"/>
          <w:szCs w:val="22"/>
        </w:rPr>
        <w:t xml:space="preserve"> </w:t>
      </w:r>
      <w:r w:rsidR="00170FA5" w:rsidRPr="00D47D9F">
        <w:rPr>
          <w:rFonts w:asciiTheme="minorHAnsi" w:hAnsiTheme="minorHAnsi" w:cstheme="minorHAnsi"/>
          <w:sz w:val="22"/>
          <w:szCs w:val="22"/>
        </w:rPr>
        <w:t>Risk Assessment)</w:t>
      </w:r>
      <w:r w:rsidR="005C34D8" w:rsidRPr="00D47D9F">
        <w:rPr>
          <w:rFonts w:asciiTheme="minorHAnsi" w:hAnsiTheme="minorHAnsi" w:cstheme="minorHAnsi"/>
          <w:sz w:val="22"/>
          <w:szCs w:val="22"/>
        </w:rPr>
        <w:t xml:space="preserve"> and the NICE Quality </w:t>
      </w:r>
      <w:r w:rsidR="001B479C" w:rsidRPr="00D47D9F">
        <w:rPr>
          <w:rFonts w:asciiTheme="minorHAnsi" w:hAnsiTheme="minorHAnsi" w:cstheme="minorHAnsi"/>
          <w:sz w:val="22"/>
          <w:szCs w:val="22"/>
        </w:rPr>
        <w:t>Standard, risk</w:t>
      </w:r>
      <w:r w:rsidR="008B701E" w:rsidRPr="00D47D9F">
        <w:rPr>
          <w:rFonts w:asciiTheme="minorHAnsi" w:hAnsiTheme="minorHAnsi" w:cstheme="minorHAnsi"/>
          <w:sz w:val="22"/>
          <w:szCs w:val="22"/>
        </w:rPr>
        <w:t xml:space="preserve"> factors include:</w:t>
      </w:r>
    </w:p>
    <w:p w14:paraId="7E4B44F4" w14:textId="5D8D08CC" w:rsidR="008B701E" w:rsidRPr="00D47D9F" w:rsidRDefault="00BA562F" w:rsidP="006D56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Re</w:t>
      </w:r>
      <w:r w:rsidR="00F81097"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duced mobility</w:t>
      </w:r>
      <w:r w:rsidR="00F81097" w:rsidRPr="00D47D9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: </w:t>
      </w:r>
      <w:r w:rsidR="005B10B2" w:rsidRPr="00D47D9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5B10B2" w:rsidRPr="00D47D9F">
        <w:rPr>
          <w:rFonts w:asciiTheme="minorHAnsi" w:hAnsiTheme="minorHAnsi" w:cstheme="minorHAnsi"/>
          <w:sz w:val="22"/>
          <w:szCs w:val="22"/>
        </w:rPr>
        <w:t xml:space="preserve">A mobility impairment </w:t>
      </w:r>
      <w:r w:rsidR="00330B9B" w:rsidRPr="00D47D9F">
        <w:rPr>
          <w:rFonts w:asciiTheme="minorHAnsi" w:hAnsiTheme="minorHAnsi" w:cstheme="minorHAnsi"/>
          <w:sz w:val="22"/>
          <w:szCs w:val="22"/>
        </w:rPr>
        <w:t>refers to a reduction or deviation in type of frequency of movement. This includes moving in the bed and chair and the ability to maintain specific body positions (</w:t>
      </w:r>
      <w:r w:rsidR="001B479C" w:rsidRPr="00D47D9F">
        <w:rPr>
          <w:rFonts w:asciiTheme="minorHAnsi" w:hAnsiTheme="minorHAnsi" w:cstheme="minorHAnsi"/>
          <w:sz w:val="22"/>
          <w:szCs w:val="22"/>
        </w:rPr>
        <w:t>e.g.,</w:t>
      </w:r>
      <w:r w:rsidR="00330B9B" w:rsidRPr="00D47D9F">
        <w:rPr>
          <w:rFonts w:asciiTheme="minorHAnsi" w:hAnsiTheme="minorHAnsi" w:cstheme="minorHAnsi"/>
          <w:sz w:val="22"/>
          <w:szCs w:val="22"/>
        </w:rPr>
        <w:t xml:space="preserve"> 30</w:t>
      </w:r>
      <w:r w:rsidR="00330B9B" w:rsidRPr="00D47D9F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="00330B9B" w:rsidRPr="00D47D9F">
        <w:rPr>
          <w:rFonts w:asciiTheme="minorHAnsi" w:hAnsiTheme="minorHAnsi" w:cstheme="minorHAnsi"/>
          <w:sz w:val="22"/>
          <w:szCs w:val="22"/>
        </w:rPr>
        <w:t xml:space="preserve"> side lying position</w:t>
      </w:r>
      <w:r w:rsidR="00114BBA" w:rsidRPr="00D47D9F">
        <w:rPr>
          <w:rFonts w:asciiTheme="minorHAnsi" w:hAnsiTheme="minorHAnsi" w:cstheme="minorHAnsi"/>
          <w:sz w:val="22"/>
          <w:szCs w:val="22"/>
        </w:rPr>
        <w:t xml:space="preserve">). </w:t>
      </w:r>
      <w:r w:rsidR="00F81097" w:rsidRPr="00D47D9F">
        <w:rPr>
          <w:rFonts w:asciiTheme="minorHAnsi" w:hAnsiTheme="minorHAnsi" w:cstheme="minorHAnsi"/>
          <w:sz w:val="22"/>
          <w:szCs w:val="22"/>
        </w:rPr>
        <w:t xml:space="preserve">A reduction in </w:t>
      </w:r>
      <w:r w:rsidR="00F62F9A" w:rsidRPr="00D47D9F">
        <w:rPr>
          <w:rFonts w:asciiTheme="minorHAnsi" w:hAnsiTheme="minorHAnsi" w:cstheme="minorHAnsi"/>
          <w:sz w:val="22"/>
          <w:szCs w:val="22"/>
        </w:rPr>
        <w:t>mobility</w:t>
      </w:r>
      <w:r w:rsidR="00F81097" w:rsidRPr="00D47D9F">
        <w:rPr>
          <w:rFonts w:asciiTheme="minorHAnsi" w:hAnsiTheme="minorHAnsi" w:cstheme="minorHAnsi"/>
          <w:sz w:val="22"/>
          <w:szCs w:val="22"/>
        </w:rPr>
        <w:t xml:space="preserve"> affects the ability to redistribute pressure</w:t>
      </w:r>
      <w:r w:rsidR="001A66CF" w:rsidRPr="00D47D9F">
        <w:rPr>
          <w:rFonts w:asciiTheme="minorHAnsi" w:hAnsiTheme="minorHAnsi" w:cstheme="minorHAnsi"/>
          <w:sz w:val="22"/>
          <w:szCs w:val="22"/>
        </w:rPr>
        <w:t xml:space="preserve"> and increases the likelihood of </w:t>
      </w:r>
      <w:r w:rsidR="00346CF8" w:rsidRPr="00D47D9F">
        <w:rPr>
          <w:rFonts w:asciiTheme="minorHAnsi" w:hAnsiTheme="minorHAnsi" w:cstheme="minorHAnsi"/>
          <w:sz w:val="22"/>
          <w:szCs w:val="22"/>
        </w:rPr>
        <w:t xml:space="preserve">shear and friction </w:t>
      </w:r>
      <w:r w:rsidR="002D3B1F" w:rsidRPr="00D47D9F">
        <w:rPr>
          <w:rFonts w:asciiTheme="minorHAnsi" w:hAnsiTheme="minorHAnsi" w:cstheme="minorHAnsi"/>
          <w:sz w:val="22"/>
          <w:szCs w:val="22"/>
        </w:rPr>
        <w:t>occurring</w:t>
      </w:r>
      <w:r w:rsidR="00F81097" w:rsidRPr="00D47D9F">
        <w:rPr>
          <w:rFonts w:asciiTheme="minorHAnsi" w:hAnsiTheme="minorHAnsi" w:cstheme="minorHAnsi"/>
          <w:sz w:val="22"/>
          <w:szCs w:val="22"/>
        </w:rPr>
        <w:t xml:space="preserve"> therefore increases susceptibility to pressure ulceration</w:t>
      </w:r>
      <w:r w:rsidR="00F62F9A" w:rsidRPr="00D47D9F">
        <w:rPr>
          <w:rFonts w:asciiTheme="minorHAnsi" w:hAnsiTheme="minorHAnsi" w:cstheme="minorHAnsi"/>
          <w:sz w:val="22"/>
          <w:szCs w:val="22"/>
        </w:rPr>
        <w:t xml:space="preserve">. Changes in </w:t>
      </w:r>
      <w:r w:rsidR="00657167" w:rsidRPr="00D47D9F">
        <w:rPr>
          <w:rFonts w:asciiTheme="minorHAnsi" w:hAnsiTheme="minorHAnsi" w:cstheme="minorHAnsi"/>
          <w:sz w:val="22"/>
          <w:szCs w:val="22"/>
        </w:rPr>
        <w:t>mobility</w:t>
      </w:r>
      <w:r w:rsidR="00F62F9A" w:rsidRPr="00D47D9F">
        <w:rPr>
          <w:rFonts w:asciiTheme="minorHAnsi" w:hAnsiTheme="minorHAnsi" w:cstheme="minorHAnsi"/>
          <w:sz w:val="22"/>
          <w:szCs w:val="22"/>
        </w:rPr>
        <w:t xml:space="preserve"> should also be considered as increasing risk.</w:t>
      </w:r>
      <w:r w:rsidR="00BA492C" w:rsidRPr="00D47D9F">
        <w:rPr>
          <w:rFonts w:asciiTheme="minorHAnsi" w:hAnsiTheme="minorHAnsi" w:cstheme="minorHAnsi"/>
          <w:sz w:val="22"/>
          <w:szCs w:val="22"/>
        </w:rPr>
        <w:t xml:space="preserve"> The duration of limitation of mobility should also be considered </w:t>
      </w:r>
      <w:r w:rsidR="002B4A1C" w:rsidRPr="00D47D9F">
        <w:rPr>
          <w:rFonts w:asciiTheme="minorHAnsi" w:hAnsiTheme="minorHAnsi" w:cstheme="minorHAnsi"/>
          <w:sz w:val="22"/>
          <w:szCs w:val="22"/>
        </w:rPr>
        <w:t xml:space="preserve">as should the patient’s frequency of </w:t>
      </w:r>
      <w:r w:rsidR="0036464E" w:rsidRPr="00D47D9F">
        <w:rPr>
          <w:rFonts w:asciiTheme="minorHAnsi" w:hAnsiTheme="minorHAnsi" w:cstheme="minorHAnsi"/>
          <w:sz w:val="22"/>
          <w:szCs w:val="22"/>
        </w:rPr>
        <w:t>mobility</w:t>
      </w:r>
      <w:r w:rsidR="002B4A1C" w:rsidRPr="00D47D9F">
        <w:rPr>
          <w:rFonts w:asciiTheme="minorHAnsi" w:hAnsiTheme="minorHAnsi" w:cstheme="minorHAnsi"/>
          <w:sz w:val="22"/>
          <w:szCs w:val="22"/>
        </w:rPr>
        <w:t>.</w:t>
      </w:r>
    </w:p>
    <w:p w14:paraId="1CE8CBAA" w14:textId="497A9A9A" w:rsidR="00657167" w:rsidRPr="00D47D9F" w:rsidRDefault="00657167" w:rsidP="006D569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Skin status</w:t>
      </w:r>
      <w:r w:rsidRPr="00D47D9F">
        <w:rPr>
          <w:rFonts w:asciiTheme="minorHAnsi" w:hAnsiTheme="minorHAnsi" w:cstheme="minorHAnsi"/>
          <w:i/>
          <w:iCs/>
          <w:color w:val="1F3864" w:themeColor="accent1" w:themeShade="80"/>
          <w:sz w:val="22"/>
          <w:szCs w:val="22"/>
        </w:rPr>
        <w:t>:</w:t>
      </w:r>
      <w:r w:rsidRPr="00D47D9F">
        <w:rPr>
          <w:rFonts w:asciiTheme="minorHAnsi" w:hAnsiTheme="minorHAnsi" w:cstheme="minorHAnsi"/>
          <w:color w:val="1F3864" w:themeColor="accent1" w:themeShade="80"/>
          <w:sz w:val="22"/>
          <w:szCs w:val="22"/>
        </w:rPr>
        <w:t xml:space="preserve"> </w:t>
      </w:r>
      <w:r w:rsidRPr="00D47D9F">
        <w:rPr>
          <w:rFonts w:asciiTheme="minorHAnsi" w:hAnsiTheme="minorHAnsi" w:cstheme="minorHAnsi"/>
          <w:sz w:val="22"/>
          <w:szCs w:val="22"/>
        </w:rPr>
        <w:t xml:space="preserve">The </w:t>
      </w:r>
      <w:r w:rsidR="00545D41" w:rsidRPr="00D47D9F">
        <w:rPr>
          <w:rFonts w:asciiTheme="minorHAnsi" w:hAnsiTheme="minorHAnsi" w:cstheme="minorHAnsi"/>
          <w:sz w:val="22"/>
          <w:szCs w:val="22"/>
        </w:rPr>
        <w:t>presence</w:t>
      </w:r>
      <w:r w:rsidRPr="00D47D9F">
        <w:rPr>
          <w:rFonts w:asciiTheme="minorHAnsi" w:hAnsiTheme="minorHAnsi" w:cstheme="minorHAnsi"/>
          <w:sz w:val="22"/>
          <w:szCs w:val="22"/>
        </w:rPr>
        <w:t xml:space="preserve"> of a current pressure ulcer or evidence of a previous pressure ulcer indicates that the patient is at high risk.  </w:t>
      </w:r>
      <w:r w:rsidR="00545D41" w:rsidRPr="00D47D9F">
        <w:rPr>
          <w:rFonts w:asciiTheme="minorHAnsi" w:hAnsiTheme="minorHAnsi" w:cstheme="minorHAnsi"/>
          <w:sz w:val="22"/>
          <w:szCs w:val="22"/>
        </w:rPr>
        <w:t>Skin assessment should</w:t>
      </w:r>
      <w:r w:rsidR="00AB55C4" w:rsidRPr="00D47D9F">
        <w:rPr>
          <w:rFonts w:asciiTheme="minorHAnsi" w:hAnsiTheme="minorHAnsi" w:cstheme="minorHAnsi"/>
          <w:sz w:val="22"/>
          <w:szCs w:val="22"/>
        </w:rPr>
        <w:t xml:space="preserve"> be from head to toe</w:t>
      </w:r>
      <w:r w:rsidR="00EB0C27" w:rsidRPr="00D47D9F">
        <w:rPr>
          <w:rFonts w:asciiTheme="minorHAnsi" w:hAnsiTheme="minorHAnsi" w:cstheme="minorHAnsi"/>
          <w:sz w:val="22"/>
          <w:szCs w:val="22"/>
        </w:rPr>
        <w:t xml:space="preserve"> and ensure care is taken to inspect all bony prominences. The assessment should</w:t>
      </w:r>
      <w:r w:rsidR="00545D41" w:rsidRPr="00D47D9F">
        <w:rPr>
          <w:rFonts w:asciiTheme="minorHAnsi" w:hAnsiTheme="minorHAnsi" w:cstheme="minorHAnsi"/>
          <w:sz w:val="22"/>
          <w:szCs w:val="22"/>
        </w:rPr>
        <w:t xml:space="preserve"> consider changes in the colour of the skin</w:t>
      </w:r>
      <w:r w:rsidR="001F18EA" w:rsidRPr="00D47D9F">
        <w:rPr>
          <w:rFonts w:asciiTheme="minorHAnsi" w:hAnsiTheme="minorHAnsi" w:cstheme="minorHAnsi"/>
          <w:sz w:val="22"/>
          <w:szCs w:val="22"/>
        </w:rPr>
        <w:t xml:space="preserve"> ensuring </w:t>
      </w:r>
      <w:proofErr w:type="gramStart"/>
      <w:r w:rsidR="001F18EA" w:rsidRPr="00D47D9F">
        <w:rPr>
          <w:rFonts w:asciiTheme="minorHAnsi" w:hAnsiTheme="minorHAnsi" w:cstheme="minorHAnsi"/>
          <w:sz w:val="22"/>
          <w:szCs w:val="22"/>
        </w:rPr>
        <w:t>particular regard</w:t>
      </w:r>
      <w:proofErr w:type="gramEnd"/>
      <w:r w:rsidR="001F18EA" w:rsidRPr="00D47D9F">
        <w:rPr>
          <w:rFonts w:asciiTheme="minorHAnsi" w:hAnsiTheme="minorHAnsi" w:cstheme="minorHAnsi"/>
          <w:sz w:val="22"/>
          <w:szCs w:val="22"/>
        </w:rPr>
        <w:t xml:space="preserve"> for more subtle changes in patients with dark skin tones,</w:t>
      </w:r>
      <w:r w:rsidR="00C40004" w:rsidRPr="00D47D9F">
        <w:rPr>
          <w:rFonts w:asciiTheme="minorHAnsi" w:hAnsiTheme="minorHAnsi" w:cstheme="minorHAnsi"/>
          <w:sz w:val="22"/>
          <w:szCs w:val="22"/>
        </w:rPr>
        <w:t xml:space="preserve"> changes in skin </w:t>
      </w:r>
      <w:r w:rsidR="005812B4" w:rsidRPr="00D47D9F">
        <w:rPr>
          <w:rFonts w:asciiTheme="minorHAnsi" w:hAnsiTheme="minorHAnsi" w:cstheme="minorHAnsi"/>
          <w:sz w:val="22"/>
          <w:szCs w:val="22"/>
        </w:rPr>
        <w:t xml:space="preserve">temperature, </w:t>
      </w:r>
      <w:r w:rsidR="00C40004" w:rsidRPr="00D47D9F">
        <w:rPr>
          <w:rFonts w:asciiTheme="minorHAnsi" w:hAnsiTheme="minorHAnsi" w:cstheme="minorHAnsi"/>
          <w:sz w:val="22"/>
          <w:szCs w:val="22"/>
        </w:rPr>
        <w:t xml:space="preserve">texture and </w:t>
      </w:r>
      <w:r w:rsidR="009567C1" w:rsidRPr="00D47D9F">
        <w:rPr>
          <w:rFonts w:asciiTheme="minorHAnsi" w:hAnsiTheme="minorHAnsi" w:cstheme="minorHAnsi"/>
          <w:sz w:val="22"/>
          <w:szCs w:val="22"/>
        </w:rPr>
        <w:t>turgor</w:t>
      </w:r>
      <w:r w:rsidR="00711844" w:rsidRPr="00D47D9F">
        <w:rPr>
          <w:rFonts w:asciiTheme="minorHAnsi" w:hAnsiTheme="minorHAnsi" w:cstheme="minorHAnsi"/>
          <w:sz w:val="22"/>
          <w:szCs w:val="22"/>
        </w:rPr>
        <w:t xml:space="preserve"> and the presence of pain over the area</w:t>
      </w:r>
      <w:r w:rsidR="00C40004" w:rsidRPr="00D47D9F">
        <w:rPr>
          <w:rFonts w:asciiTheme="minorHAnsi" w:hAnsiTheme="minorHAnsi" w:cstheme="minorHAnsi"/>
          <w:sz w:val="22"/>
          <w:szCs w:val="22"/>
        </w:rPr>
        <w:t>.</w:t>
      </w:r>
    </w:p>
    <w:p w14:paraId="5B1694E6" w14:textId="7C8FB48F" w:rsidR="006E39DF" w:rsidRPr="00D47D9F" w:rsidRDefault="006E39DF" w:rsidP="00D47D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Nutritional status and hydration</w:t>
      </w:r>
      <w:r w:rsidRPr="00D47D9F">
        <w:rPr>
          <w:rFonts w:asciiTheme="minorHAnsi" w:hAnsiTheme="minorHAnsi" w:cstheme="minorHAnsi"/>
          <w:sz w:val="22"/>
          <w:szCs w:val="22"/>
        </w:rPr>
        <w:t xml:space="preserve">; </w:t>
      </w:r>
      <w:r w:rsidR="00865BC5" w:rsidRPr="00D47D9F">
        <w:rPr>
          <w:rFonts w:asciiTheme="minorHAnsi" w:hAnsiTheme="minorHAnsi" w:cstheme="minorHAnsi"/>
          <w:sz w:val="22"/>
          <w:szCs w:val="22"/>
        </w:rPr>
        <w:t xml:space="preserve">Nutritional </w:t>
      </w:r>
      <w:r w:rsidR="002831CF" w:rsidRPr="00D47D9F">
        <w:rPr>
          <w:rFonts w:asciiTheme="minorHAnsi" w:hAnsiTheme="minorHAnsi" w:cstheme="minorHAnsi"/>
          <w:sz w:val="22"/>
          <w:szCs w:val="22"/>
        </w:rPr>
        <w:t>deficits are associated with and may impact on</w:t>
      </w:r>
      <w:r w:rsidR="00B40AD7" w:rsidRPr="00D47D9F">
        <w:rPr>
          <w:rFonts w:asciiTheme="minorHAnsi" w:hAnsiTheme="minorHAnsi" w:cstheme="minorHAnsi"/>
          <w:sz w:val="22"/>
          <w:szCs w:val="22"/>
        </w:rPr>
        <w:t xml:space="preserve"> the </w:t>
      </w:r>
      <w:r w:rsidR="00761159" w:rsidRPr="00D47D9F">
        <w:rPr>
          <w:rFonts w:asciiTheme="minorHAnsi" w:hAnsiTheme="minorHAnsi" w:cstheme="minorHAnsi"/>
          <w:sz w:val="22"/>
          <w:szCs w:val="22"/>
        </w:rPr>
        <w:t>susceptibility</w:t>
      </w:r>
      <w:r w:rsidR="00B40AD7" w:rsidRPr="00D47D9F">
        <w:rPr>
          <w:rFonts w:asciiTheme="minorHAnsi" w:hAnsiTheme="minorHAnsi" w:cstheme="minorHAnsi"/>
          <w:sz w:val="22"/>
          <w:szCs w:val="22"/>
        </w:rPr>
        <w:t xml:space="preserve"> and tolerance of the skin, including mechanical properties of the tissue; the ge</w:t>
      </w:r>
      <w:r w:rsidR="00AD624C" w:rsidRPr="00D47D9F">
        <w:rPr>
          <w:rFonts w:asciiTheme="minorHAnsi" w:hAnsiTheme="minorHAnsi" w:cstheme="minorHAnsi"/>
          <w:sz w:val="22"/>
          <w:szCs w:val="22"/>
        </w:rPr>
        <w:t xml:space="preserve">ometry (morphology) of the tissues; physiology and repair; and transport </w:t>
      </w:r>
      <w:r w:rsidR="00146D83" w:rsidRPr="00D47D9F">
        <w:rPr>
          <w:rFonts w:asciiTheme="minorHAnsi" w:hAnsiTheme="minorHAnsi" w:cstheme="minorHAnsi"/>
          <w:sz w:val="22"/>
          <w:szCs w:val="22"/>
        </w:rPr>
        <w:t xml:space="preserve">and thermal properties. In patients at extremes of weight / BMI this may also affect exposure to adverse mechanical boundary conditions. </w:t>
      </w:r>
      <w:r w:rsidR="00F56F5D" w:rsidRPr="00D47D9F">
        <w:rPr>
          <w:rFonts w:asciiTheme="minorHAnsi" w:hAnsiTheme="minorHAnsi" w:cstheme="minorHAnsi"/>
          <w:sz w:val="22"/>
          <w:szCs w:val="22"/>
        </w:rPr>
        <w:t>Nutri</w:t>
      </w:r>
      <w:r w:rsidR="005C4347" w:rsidRPr="00D47D9F">
        <w:rPr>
          <w:rFonts w:asciiTheme="minorHAnsi" w:hAnsiTheme="minorHAnsi" w:cstheme="minorHAnsi"/>
          <w:sz w:val="22"/>
          <w:szCs w:val="22"/>
        </w:rPr>
        <w:t>ti</w:t>
      </w:r>
      <w:r w:rsidR="00F56F5D" w:rsidRPr="00D47D9F">
        <w:rPr>
          <w:rFonts w:asciiTheme="minorHAnsi" w:hAnsiTheme="minorHAnsi" w:cstheme="minorHAnsi"/>
          <w:sz w:val="22"/>
          <w:szCs w:val="22"/>
        </w:rPr>
        <w:t>on status and recent unplanned changes in weight should</w:t>
      </w:r>
      <w:r w:rsidR="005C4347" w:rsidRPr="00D47D9F">
        <w:rPr>
          <w:rFonts w:asciiTheme="minorHAnsi" w:hAnsiTheme="minorHAnsi" w:cstheme="minorHAnsi"/>
          <w:sz w:val="22"/>
          <w:szCs w:val="22"/>
        </w:rPr>
        <w:t xml:space="preserve"> be assessed suing a validated </w:t>
      </w:r>
      <w:r w:rsidR="008A0CC6" w:rsidRPr="00D47D9F">
        <w:rPr>
          <w:rFonts w:asciiTheme="minorHAnsi" w:hAnsiTheme="minorHAnsi" w:cstheme="minorHAnsi"/>
          <w:sz w:val="22"/>
          <w:szCs w:val="22"/>
        </w:rPr>
        <w:t>tool (</w:t>
      </w:r>
      <w:r w:rsidR="008B4A65" w:rsidRPr="00D47D9F">
        <w:rPr>
          <w:rFonts w:asciiTheme="minorHAnsi" w:hAnsiTheme="minorHAnsi" w:cstheme="minorHAnsi"/>
          <w:sz w:val="22"/>
          <w:szCs w:val="22"/>
        </w:rPr>
        <w:t>e.g.,</w:t>
      </w:r>
      <w:r w:rsidR="008A0CC6" w:rsidRPr="00D47D9F">
        <w:rPr>
          <w:rFonts w:asciiTheme="minorHAnsi" w:hAnsiTheme="minorHAnsi" w:cstheme="minorHAnsi"/>
          <w:sz w:val="22"/>
          <w:szCs w:val="22"/>
        </w:rPr>
        <w:t xml:space="preserve"> the </w:t>
      </w:r>
      <w:hyperlink r:id="rId11" w:history="1">
        <w:r w:rsidR="008A0CC6" w:rsidRPr="00D47D9F">
          <w:rPr>
            <w:rStyle w:val="Hyperlink"/>
            <w:rFonts w:asciiTheme="minorHAnsi" w:hAnsiTheme="minorHAnsi" w:cstheme="minorHAnsi"/>
            <w:sz w:val="22"/>
            <w:szCs w:val="22"/>
          </w:rPr>
          <w:t>MUST tool</w:t>
        </w:r>
      </w:hyperlink>
      <w:r w:rsidR="008A0CC6" w:rsidRPr="00D47D9F">
        <w:rPr>
          <w:rFonts w:asciiTheme="minorHAnsi" w:hAnsiTheme="minorHAnsi" w:cstheme="minorHAnsi"/>
          <w:sz w:val="22"/>
          <w:szCs w:val="22"/>
        </w:rPr>
        <w:t xml:space="preserve">) </w:t>
      </w:r>
      <w:r w:rsidR="005C4347" w:rsidRPr="00D47D9F">
        <w:rPr>
          <w:rFonts w:asciiTheme="minorHAnsi" w:hAnsiTheme="minorHAnsi" w:cstheme="minorHAnsi"/>
          <w:sz w:val="22"/>
          <w:szCs w:val="22"/>
        </w:rPr>
        <w:t>and included in the risk assessment</w:t>
      </w:r>
      <w:r w:rsidR="007B7610" w:rsidRPr="00D47D9F">
        <w:rPr>
          <w:rFonts w:asciiTheme="minorHAnsi" w:hAnsiTheme="minorHAnsi" w:cstheme="minorHAnsi"/>
          <w:sz w:val="22"/>
          <w:szCs w:val="22"/>
        </w:rPr>
        <w:t>.</w:t>
      </w:r>
    </w:p>
    <w:p w14:paraId="3C42C04B" w14:textId="581D053B" w:rsidR="002D3B1F" w:rsidRPr="00D47D9F" w:rsidRDefault="002D3B1F" w:rsidP="00D47D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Continence</w:t>
      </w:r>
      <w:r w:rsidR="00DB44E1"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 </w:t>
      </w:r>
      <w:r w:rsidR="008B4A65"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status:</w:t>
      </w:r>
      <w:r w:rsidR="00A83959" w:rsidRPr="00D47D9F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  <w:r w:rsidR="000D79E9" w:rsidRPr="00D47D9F">
        <w:rPr>
          <w:rFonts w:asciiTheme="minorHAnsi" w:hAnsiTheme="minorHAnsi" w:cstheme="minorHAnsi"/>
          <w:sz w:val="22"/>
          <w:szCs w:val="22"/>
        </w:rPr>
        <w:t xml:space="preserve">The presence of moisture from incontinence on the skin </w:t>
      </w:r>
      <w:r w:rsidR="00062199" w:rsidRPr="00D47D9F">
        <w:rPr>
          <w:rFonts w:asciiTheme="minorHAnsi" w:hAnsiTheme="minorHAnsi" w:cstheme="minorHAnsi"/>
          <w:sz w:val="22"/>
          <w:szCs w:val="22"/>
        </w:rPr>
        <w:t xml:space="preserve">may impact on both the </w:t>
      </w:r>
      <w:r w:rsidR="0054505E" w:rsidRPr="00D47D9F">
        <w:rPr>
          <w:rFonts w:asciiTheme="minorHAnsi" w:hAnsiTheme="minorHAnsi" w:cstheme="minorHAnsi"/>
          <w:sz w:val="22"/>
          <w:szCs w:val="22"/>
        </w:rPr>
        <w:t xml:space="preserve">susceptibility and tolerance of the skin (mechanical properties of the tissues) and the </w:t>
      </w:r>
      <w:r w:rsidR="00841827" w:rsidRPr="00D47D9F">
        <w:rPr>
          <w:rFonts w:asciiTheme="minorHAnsi" w:hAnsiTheme="minorHAnsi" w:cstheme="minorHAnsi"/>
          <w:sz w:val="22"/>
          <w:szCs w:val="22"/>
        </w:rPr>
        <w:t xml:space="preserve">type of load. The </w:t>
      </w:r>
      <w:r w:rsidR="00EE57C6" w:rsidRPr="00D47D9F">
        <w:rPr>
          <w:rFonts w:asciiTheme="minorHAnsi" w:hAnsiTheme="minorHAnsi" w:cstheme="minorHAnsi"/>
          <w:sz w:val="22"/>
          <w:szCs w:val="22"/>
        </w:rPr>
        <w:t>coefficient</w:t>
      </w:r>
      <w:r w:rsidR="00841827" w:rsidRPr="00D47D9F">
        <w:rPr>
          <w:rFonts w:asciiTheme="minorHAnsi" w:hAnsiTheme="minorHAnsi" w:cstheme="minorHAnsi"/>
          <w:sz w:val="22"/>
          <w:szCs w:val="22"/>
        </w:rPr>
        <w:t xml:space="preserve"> of friction is shown to be greater over moist skin. </w:t>
      </w:r>
      <w:r w:rsidR="001F2502" w:rsidRPr="00D47D9F">
        <w:rPr>
          <w:rFonts w:asciiTheme="minorHAnsi" w:hAnsiTheme="minorHAnsi" w:cstheme="minorHAnsi"/>
          <w:sz w:val="22"/>
          <w:szCs w:val="22"/>
        </w:rPr>
        <w:t>The skin damage is increased by the presence of irritant components in urine and faeces.</w:t>
      </w:r>
      <w:r w:rsidR="00841827" w:rsidRPr="00D47D9F">
        <w:rPr>
          <w:rFonts w:asciiTheme="minorHAnsi" w:hAnsiTheme="minorHAnsi" w:cstheme="minorHAnsi"/>
          <w:sz w:val="22"/>
          <w:szCs w:val="22"/>
        </w:rPr>
        <w:t xml:space="preserve"> </w:t>
      </w:r>
      <w:r w:rsidR="00062199" w:rsidRPr="00D47D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19F1F" w14:textId="576B9331" w:rsidR="002D3B1F" w:rsidRPr="00D47D9F" w:rsidRDefault="002D3B1F" w:rsidP="00D47D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 xml:space="preserve">Sensory </w:t>
      </w:r>
      <w:r w:rsidR="008B4A65" w:rsidRPr="00D47D9F">
        <w:rPr>
          <w:rFonts w:asciiTheme="minorHAnsi" w:hAnsiTheme="minorHAnsi" w:cstheme="minorHAnsi"/>
          <w:i/>
          <w:iCs/>
          <w:color w:val="4472C4" w:themeColor="accent1"/>
          <w:sz w:val="22"/>
          <w:szCs w:val="22"/>
        </w:rPr>
        <w:t>perception</w:t>
      </w:r>
      <w:r w:rsidR="008B4A65" w:rsidRPr="00D47D9F">
        <w:rPr>
          <w:rFonts w:asciiTheme="minorHAnsi" w:hAnsiTheme="minorHAnsi" w:cstheme="minorHAnsi"/>
          <w:i/>
          <w:iCs/>
          <w:sz w:val="22"/>
          <w:szCs w:val="22"/>
        </w:rPr>
        <w:t>:</w:t>
      </w:r>
      <w:r w:rsidR="00EE57C6" w:rsidRPr="00D47D9F">
        <w:rPr>
          <w:rFonts w:asciiTheme="minorHAnsi" w:hAnsiTheme="minorHAnsi" w:cstheme="minorHAnsi"/>
          <w:sz w:val="22"/>
          <w:szCs w:val="22"/>
        </w:rPr>
        <w:t xml:space="preserve"> sensory perception impairment includes those with local sensory impairment</w:t>
      </w:r>
      <w:r w:rsidR="0016565A" w:rsidRPr="00D47D9F">
        <w:rPr>
          <w:rFonts w:asciiTheme="minorHAnsi" w:hAnsiTheme="minorHAnsi" w:cstheme="minorHAnsi"/>
          <w:sz w:val="22"/>
          <w:szCs w:val="22"/>
        </w:rPr>
        <w:t xml:space="preserve"> or the ability to perceive </w:t>
      </w:r>
      <w:r w:rsidR="0090624D" w:rsidRPr="00D47D9F">
        <w:rPr>
          <w:rFonts w:asciiTheme="minorHAnsi" w:hAnsiTheme="minorHAnsi" w:cstheme="minorHAnsi"/>
          <w:sz w:val="22"/>
          <w:szCs w:val="22"/>
        </w:rPr>
        <w:t>pressure related discomfort</w:t>
      </w:r>
      <w:r w:rsidR="00EE57C6" w:rsidRPr="00D47D9F">
        <w:rPr>
          <w:rFonts w:asciiTheme="minorHAnsi" w:hAnsiTheme="minorHAnsi" w:cstheme="minorHAnsi"/>
          <w:sz w:val="22"/>
          <w:szCs w:val="22"/>
        </w:rPr>
        <w:t xml:space="preserve"> (for example</w:t>
      </w:r>
      <w:r w:rsidR="0016565A" w:rsidRPr="00D47D9F">
        <w:rPr>
          <w:rFonts w:asciiTheme="minorHAnsi" w:hAnsiTheme="minorHAnsi" w:cstheme="minorHAnsi"/>
          <w:sz w:val="22"/>
          <w:szCs w:val="22"/>
        </w:rPr>
        <w:t xml:space="preserve"> diabetes, spinal cord injury or peripheral arterial disease)</w:t>
      </w:r>
      <w:r w:rsidR="0090624D" w:rsidRPr="00D47D9F">
        <w:rPr>
          <w:rFonts w:asciiTheme="minorHAnsi" w:hAnsiTheme="minorHAnsi" w:cstheme="minorHAnsi"/>
          <w:sz w:val="22"/>
          <w:szCs w:val="22"/>
        </w:rPr>
        <w:t xml:space="preserve"> and those with central sensory impairment</w:t>
      </w:r>
      <w:r w:rsidR="0026124F" w:rsidRPr="00D47D9F">
        <w:rPr>
          <w:rFonts w:asciiTheme="minorHAnsi" w:hAnsiTheme="minorHAnsi" w:cstheme="minorHAnsi"/>
          <w:sz w:val="22"/>
          <w:szCs w:val="22"/>
        </w:rPr>
        <w:t xml:space="preserve"> or t</w:t>
      </w:r>
      <w:r w:rsidR="005B4058" w:rsidRPr="00D47D9F">
        <w:rPr>
          <w:rFonts w:asciiTheme="minorHAnsi" w:hAnsiTheme="minorHAnsi" w:cstheme="minorHAnsi"/>
          <w:sz w:val="22"/>
          <w:szCs w:val="22"/>
        </w:rPr>
        <w:t>h</w:t>
      </w:r>
      <w:r w:rsidR="0026124F" w:rsidRPr="00D47D9F">
        <w:rPr>
          <w:rFonts w:asciiTheme="minorHAnsi" w:hAnsiTheme="minorHAnsi" w:cstheme="minorHAnsi"/>
          <w:sz w:val="22"/>
          <w:szCs w:val="22"/>
        </w:rPr>
        <w:t>e ability to respond to pressure related discomfort (</w:t>
      </w:r>
      <w:r w:rsidR="008B4A65" w:rsidRPr="00D47D9F">
        <w:rPr>
          <w:rFonts w:asciiTheme="minorHAnsi" w:hAnsiTheme="minorHAnsi" w:cstheme="minorHAnsi"/>
          <w:sz w:val="22"/>
          <w:szCs w:val="22"/>
        </w:rPr>
        <w:t>e.g.,</w:t>
      </w:r>
      <w:r w:rsidR="0026124F" w:rsidRPr="00D47D9F">
        <w:rPr>
          <w:rFonts w:asciiTheme="minorHAnsi" w:hAnsiTheme="minorHAnsi" w:cstheme="minorHAnsi"/>
          <w:sz w:val="22"/>
          <w:szCs w:val="22"/>
        </w:rPr>
        <w:t xml:space="preserve"> coma, sedation, </w:t>
      </w:r>
      <w:r w:rsidR="005B4058" w:rsidRPr="00D47D9F">
        <w:rPr>
          <w:rFonts w:asciiTheme="minorHAnsi" w:hAnsiTheme="minorHAnsi" w:cstheme="minorHAnsi"/>
          <w:sz w:val="22"/>
          <w:szCs w:val="22"/>
        </w:rPr>
        <w:t>anaesthesia</w:t>
      </w:r>
      <w:r w:rsidR="0026124F" w:rsidRPr="00D47D9F">
        <w:rPr>
          <w:rFonts w:asciiTheme="minorHAnsi" w:hAnsiTheme="minorHAnsi" w:cstheme="minorHAnsi"/>
          <w:sz w:val="22"/>
          <w:szCs w:val="22"/>
        </w:rPr>
        <w:t>, paralysis)</w:t>
      </w:r>
      <w:r w:rsidR="005B4058" w:rsidRPr="00D47D9F">
        <w:rPr>
          <w:rFonts w:asciiTheme="minorHAnsi" w:hAnsiTheme="minorHAnsi" w:cstheme="minorHAnsi"/>
          <w:sz w:val="22"/>
          <w:szCs w:val="22"/>
        </w:rPr>
        <w:t xml:space="preserve">. Consideration should be given to the duration of impairment for example </w:t>
      </w:r>
      <w:r w:rsidR="004E54ED" w:rsidRPr="00D47D9F">
        <w:rPr>
          <w:rFonts w:asciiTheme="minorHAnsi" w:hAnsiTheme="minorHAnsi" w:cstheme="minorHAnsi"/>
          <w:sz w:val="22"/>
          <w:szCs w:val="22"/>
        </w:rPr>
        <w:t>anaesthesia</w:t>
      </w:r>
      <w:r w:rsidR="005B4058" w:rsidRPr="00D47D9F">
        <w:rPr>
          <w:rFonts w:asciiTheme="minorHAnsi" w:hAnsiTheme="minorHAnsi" w:cstheme="minorHAnsi"/>
          <w:sz w:val="22"/>
          <w:szCs w:val="22"/>
        </w:rPr>
        <w:t xml:space="preserve"> </w:t>
      </w:r>
      <w:r w:rsidR="004E54ED" w:rsidRPr="00D47D9F">
        <w:rPr>
          <w:rFonts w:asciiTheme="minorHAnsi" w:hAnsiTheme="minorHAnsi" w:cstheme="minorHAnsi"/>
          <w:sz w:val="22"/>
          <w:szCs w:val="22"/>
        </w:rPr>
        <w:t>is a temporary and time limited impairment and changes in risk status.</w:t>
      </w:r>
    </w:p>
    <w:p w14:paraId="6376B519" w14:textId="13225698" w:rsidR="002F51E3" w:rsidRPr="00D47D9F" w:rsidRDefault="00D47D9F" w:rsidP="00D47D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FBCE93" wp14:editId="1FAA54FC">
                <wp:simplePos x="0" y="0"/>
                <wp:positionH relativeFrom="margin">
                  <wp:align>right</wp:align>
                </wp:positionH>
                <wp:positionV relativeFrom="paragraph">
                  <wp:posOffset>172720</wp:posOffset>
                </wp:positionV>
                <wp:extent cx="5705475" cy="1404620"/>
                <wp:effectExtent l="0" t="0" r="2857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4488B" w14:textId="5DD9136B" w:rsidR="008B4A65" w:rsidRDefault="008B4A65" w:rsidP="008B4A65">
                            <w:pPr>
                              <w:suppressOverlap/>
                            </w:pPr>
                            <w:r w:rsidRPr="00F77AA0">
                              <w:rPr>
                                <w:b/>
                                <w:bCs/>
                              </w:rPr>
                              <w:t>CQUIN CCG1</w:t>
                            </w:r>
                            <w:r w:rsidR="00DF0E36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F77AA0">
                              <w:rPr>
                                <w:b/>
                                <w:bCs/>
                              </w:rPr>
                              <w:t xml:space="preserve"> – Criteria 2:</w:t>
                            </w:r>
                            <w:r w:rsidRPr="000A1ABF">
                              <w:t xml:space="preserve"> Individualised</w:t>
                            </w:r>
                            <w:r w:rsidRPr="00F77AA0">
                              <w:t xml:space="preserve"> plan of care: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FBCE93" id="_x0000_s1027" type="#_x0000_t202" style="position:absolute;margin-left:398.05pt;margin-top:13.6pt;width:449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" fillcolor="#fbe4d5 [661]">
                <v:textbox style="mso-fit-shape-to-text:t">
                  <w:txbxContent>
                    <w:p w14:paraId="3564488B" w14:textId="5DD9136B" w:rsidR="008B4A65" w:rsidRDefault="008B4A65" w:rsidP="008B4A65">
                      <w:pPr>
                        <w:suppressOverlap/>
                      </w:pPr>
                      <w:r w:rsidRPr="00F77AA0">
                        <w:rPr>
                          <w:b/>
                          <w:bCs/>
                        </w:rPr>
                        <w:t>CQUIN CCG1</w:t>
                      </w:r>
                      <w:r w:rsidR="00DF0E36">
                        <w:rPr>
                          <w:b/>
                          <w:bCs/>
                        </w:rPr>
                        <w:t>2</w:t>
                      </w:r>
                      <w:r w:rsidRPr="00F77AA0">
                        <w:rPr>
                          <w:b/>
                          <w:bCs/>
                        </w:rPr>
                        <w:t xml:space="preserve"> – Criteria 2:</w:t>
                      </w:r>
                      <w:r w:rsidRPr="000A1ABF">
                        <w:t xml:space="preserve"> Individualised</w:t>
                      </w:r>
                      <w:r w:rsidRPr="00F77AA0">
                        <w:t xml:space="preserve"> plan of care: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51E3" w:rsidRPr="00D47D9F">
        <w:rPr>
          <w:rFonts w:asciiTheme="minorHAnsi" w:hAnsiTheme="minorHAnsi" w:cstheme="minorHAnsi"/>
          <w:sz w:val="22"/>
          <w:szCs w:val="22"/>
        </w:rPr>
        <w:t xml:space="preserve">If the patient is deemed to be not at </w:t>
      </w:r>
      <w:r w:rsidRPr="00D47D9F">
        <w:rPr>
          <w:rFonts w:asciiTheme="minorHAnsi" w:hAnsiTheme="minorHAnsi" w:cstheme="minorHAnsi"/>
          <w:sz w:val="22"/>
          <w:szCs w:val="22"/>
        </w:rPr>
        <w:t>risk,</w:t>
      </w:r>
      <w:r w:rsidR="002F51E3" w:rsidRPr="00D47D9F">
        <w:rPr>
          <w:rFonts w:asciiTheme="minorHAnsi" w:hAnsiTheme="minorHAnsi" w:cstheme="minorHAnsi"/>
          <w:sz w:val="22"/>
          <w:szCs w:val="22"/>
        </w:rPr>
        <w:t xml:space="preserve"> there should be evidence of the risk and skin assessment clearly documented with a reassessment dat</w:t>
      </w:r>
      <w:r w:rsidR="00762319" w:rsidRPr="00D47D9F">
        <w:rPr>
          <w:rFonts w:asciiTheme="minorHAnsi" w:hAnsiTheme="minorHAnsi" w:cstheme="minorHAnsi"/>
          <w:sz w:val="22"/>
          <w:szCs w:val="22"/>
        </w:rPr>
        <w:t>e.</w:t>
      </w:r>
    </w:p>
    <w:p w14:paraId="02C38BA2" w14:textId="55A41AA6" w:rsidR="00AD35CC" w:rsidRPr="00D47D9F" w:rsidRDefault="005B7D6D" w:rsidP="00D47D9F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>Where the patient is deemed to be at risk t</w:t>
      </w:r>
      <w:r w:rsidR="00AD35CC" w:rsidRPr="00D47D9F">
        <w:rPr>
          <w:rFonts w:asciiTheme="minorHAnsi" w:hAnsiTheme="minorHAnsi" w:cstheme="minorHAnsi"/>
          <w:sz w:val="22"/>
          <w:szCs w:val="22"/>
        </w:rPr>
        <w:t xml:space="preserve">he items to be considered within the plan of care are based on the </w:t>
      </w:r>
      <w:hyperlink r:id="rId12" w:history="1">
        <w:r w:rsidR="00AD35CC" w:rsidRPr="00D47D9F">
          <w:rPr>
            <w:rStyle w:val="Hyperlink"/>
            <w:rFonts w:asciiTheme="minorHAnsi" w:hAnsiTheme="minorHAnsi" w:cstheme="minorHAnsi"/>
            <w:sz w:val="22"/>
            <w:szCs w:val="22"/>
          </w:rPr>
          <w:t>NICE Guidelines</w:t>
        </w:r>
      </w:hyperlink>
      <w:r w:rsidR="00CB48C5" w:rsidRPr="00D47D9F">
        <w:rPr>
          <w:rFonts w:asciiTheme="minorHAnsi" w:hAnsiTheme="minorHAnsi" w:cstheme="minorHAnsi"/>
          <w:sz w:val="22"/>
          <w:szCs w:val="22"/>
        </w:rPr>
        <w:t xml:space="preserve"> key priorities for implementation.</w:t>
      </w:r>
    </w:p>
    <w:p w14:paraId="0F3705CD" w14:textId="3A3BEE83" w:rsidR="00DD6899" w:rsidRPr="00D47D9F" w:rsidRDefault="005D32CE" w:rsidP="00DD6899">
      <w:pPr>
        <w:pStyle w:val="NormalWeb"/>
        <w:ind w:left="360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>These criteria should be addressed as a minimum in the care plan</w:t>
      </w:r>
      <w:r w:rsidR="00C22384" w:rsidRPr="00D47D9F">
        <w:rPr>
          <w:rFonts w:asciiTheme="minorHAnsi" w:hAnsiTheme="minorHAnsi" w:cstheme="minorHAnsi"/>
          <w:sz w:val="22"/>
          <w:szCs w:val="22"/>
        </w:rPr>
        <w:t>:</w:t>
      </w:r>
    </w:p>
    <w:p w14:paraId="490EE14D" w14:textId="60D37331" w:rsidR="00503DE6" w:rsidRPr="00D47D9F" w:rsidRDefault="00DD6899" w:rsidP="00C22384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>Risk and skin assessment outcomes. Identifications of specific risks should be mitigated in the plan of care</w:t>
      </w:r>
      <w:r w:rsidR="00503DE6" w:rsidRPr="00D47D9F">
        <w:rPr>
          <w:rFonts w:asciiTheme="minorHAnsi" w:hAnsiTheme="minorHAnsi" w:cstheme="minorHAnsi"/>
          <w:sz w:val="22"/>
          <w:szCs w:val="22"/>
        </w:rPr>
        <w:t>. Appropriate skin care regimens should be described.</w:t>
      </w:r>
      <w:r w:rsidR="009F0A52" w:rsidRPr="00D47D9F">
        <w:rPr>
          <w:rFonts w:asciiTheme="minorHAnsi" w:hAnsiTheme="minorHAnsi" w:cstheme="minorHAnsi"/>
          <w:sz w:val="22"/>
          <w:szCs w:val="22"/>
        </w:rPr>
        <w:t xml:space="preserve"> It may be helpful to follow the SSKIN</w:t>
      </w:r>
      <w:r w:rsidR="000C769C" w:rsidRPr="00D47D9F">
        <w:rPr>
          <w:rStyle w:val="FootnoteReference"/>
          <w:rFonts w:asciiTheme="minorHAnsi" w:hAnsiTheme="minorHAnsi" w:cstheme="minorHAnsi"/>
          <w:sz w:val="22"/>
          <w:szCs w:val="22"/>
        </w:rPr>
        <w:footnoteReference w:id="3"/>
      </w:r>
      <w:r w:rsidR="009F0A52" w:rsidRPr="00D47D9F">
        <w:rPr>
          <w:rFonts w:asciiTheme="minorHAnsi" w:hAnsiTheme="minorHAnsi" w:cstheme="minorHAnsi"/>
          <w:sz w:val="22"/>
          <w:szCs w:val="22"/>
        </w:rPr>
        <w:t xml:space="preserve"> </w:t>
      </w:r>
      <w:r w:rsidR="000C769C" w:rsidRPr="00D47D9F">
        <w:rPr>
          <w:rFonts w:asciiTheme="minorHAnsi" w:hAnsiTheme="minorHAnsi" w:cstheme="minorHAnsi"/>
          <w:sz w:val="22"/>
          <w:szCs w:val="22"/>
        </w:rPr>
        <w:t>acronym</w:t>
      </w:r>
      <w:r w:rsidR="004D68F2">
        <w:rPr>
          <w:rFonts w:asciiTheme="minorHAnsi" w:hAnsiTheme="minorHAnsi" w:cstheme="minorHAnsi"/>
          <w:sz w:val="22"/>
          <w:szCs w:val="22"/>
        </w:rPr>
        <w:t>.</w:t>
      </w:r>
    </w:p>
    <w:p w14:paraId="0D7F0DB5" w14:textId="0DB23EBE" w:rsidR="005D32CE" w:rsidRPr="00D47D9F" w:rsidRDefault="00503DE6" w:rsidP="00C22384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 xml:space="preserve">Recommendations about pressure relief at specific skin sites. </w:t>
      </w:r>
      <w:r w:rsidR="00B503B4" w:rsidRPr="00D47D9F">
        <w:rPr>
          <w:rFonts w:asciiTheme="minorHAnsi" w:hAnsiTheme="minorHAnsi" w:cstheme="minorHAnsi"/>
          <w:sz w:val="22"/>
          <w:szCs w:val="22"/>
        </w:rPr>
        <w:t xml:space="preserve">This can include the use of pressure redistributing aids in the bed or chair and or </w:t>
      </w:r>
      <w:r w:rsidR="00922746" w:rsidRPr="00D47D9F">
        <w:rPr>
          <w:rFonts w:asciiTheme="minorHAnsi" w:hAnsiTheme="minorHAnsi" w:cstheme="minorHAnsi"/>
          <w:sz w:val="22"/>
          <w:szCs w:val="22"/>
        </w:rPr>
        <w:t>devices</w:t>
      </w:r>
      <w:r w:rsidR="00B503B4" w:rsidRPr="00D47D9F">
        <w:rPr>
          <w:rFonts w:asciiTheme="minorHAnsi" w:hAnsiTheme="minorHAnsi" w:cstheme="minorHAnsi"/>
          <w:sz w:val="22"/>
          <w:szCs w:val="22"/>
        </w:rPr>
        <w:t xml:space="preserve"> to re</w:t>
      </w:r>
      <w:r w:rsidR="00922746" w:rsidRPr="00D47D9F">
        <w:rPr>
          <w:rFonts w:asciiTheme="minorHAnsi" w:hAnsiTheme="minorHAnsi" w:cstheme="minorHAnsi"/>
          <w:sz w:val="22"/>
          <w:szCs w:val="22"/>
        </w:rPr>
        <w:t>lieve or redistribute pressure at specific body sites such as the heels.</w:t>
      </w:r>
    </w:p>
    <w:p w14:paraId="4907A9E4" w14:textId="66E8A670" w:rsidR="00922746" w:rsidRPr="00D47D9F" w:rsidRDefault="00CE58EA" w:rsidP="00C22384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 xml:space="preserve">Mobility and the need to reposition the patient: Where a mobility deficit is identified the care plan should indicate if the deficit is temporary or </w:t>
      </w:r>
      <w:r w:rsidR="00AE7161" w:rsidRPr="00D47D9F">
        <w:rPr>
          <w:rFonts w:asciiTheme="minorHAnsi" w:hAnsiTheme="minorHAnsi" w:cstheme="minorHAnsi"/>
          <w:sz w:val="22"/>
          <w:szCs w:val="22"/>
        </w:rPr>
        <w:t>permanent</w:t>
      </w:r>
      <w:r w:rsidRPr="00D47D9F">
        <w:rPr>
          <w:rFonts w:asciiTheme="minorHAnsi" w:hAnsiTheme="minorHAnsi" w:cstheme="minorHAnsi"/>
          <w:sz w:val="22"/>
          <w:szCs w:val="22"/>
        </w:rPr>
        <w:t xml:space="preserve">, the extent of the deficit and </w:t>
      </w:r>
      <w:r w:rsidR="00AE7161" w:rsidRPr="00D47D9F">
        <w:rPr>
          <w:rFonts w:asciiTheme="minorHAnsi" w:hAnsiTheme="minorHAnsi" w:cstheme="minorHAnsi"/>
          <w:sz w:val="22"/>
          <w:szCs w:val="22"/>
        </w:rPr>
        <w:t>the steps taken to mitigate risk. These may include</w:t>
      </w:r>
      <w:r w:rsidR="00A75899" w:rsidRPr="00D47D9F">
        <w:rPr>
          <w:rFonts w:asciiTheme="minorHAnsi" w:hAnsiTheme="minorHAnsi" w:cstheme="minorHAnsi"/>
          <w:sz w:val="22"/>
          <w:szCs w:val="22"/>
        </w:rPr>
        <w:t xml:space="preserve"> patient rehabilitation or reablement, use of devices to support </w:t>
      </w:r>
      <w:r w:rsidR="00B30BDE" w:rsidRPr="00D47D9F">
        <w:rPr>
          <w:rFonts w:asciiTheme="minorHAnsi" w:hAnsiTheme="minorHAnsi" w:cstheme="minorHAnsi"/>
          <w:sz w:val="22"/>
          <w:szCs w:val="22"/>
        </w:rPr>
        <w:t>mobility, use of moving and handling aids</w:t>
      </w:r>
      <w:r w:rsidR="00984174" w:rsidRPr="00D47D9F">
        <w:rPr>
          <w:rFonts w:asciiTheme="minorHAnsi" w:hAnsiTheme="minorHAnsi" w:cstheme="minorHAnsi"/>
          <w:sz w:val="22"/>
          <w:szCs w:val="22"/>
        </w:rPr>
        <w:t>,</w:t>
      </w:r>
      <w:r w:rsidR="00B30BDE" w:rsidRPr="00D47D9F">
        <w:rPr>
          <w:rFonts w:asciiTheme="minorHAnsi" w:hAnsiTheme="minorHAnsi" w:cstheme="minorHAnsi"/>
          <w:sz w:val="22"/>
          <w:szCs w:val="22"/>
        </w:rPr>
        <w:t xml:space="preserve"> use of repositioning devices</w:t>
      </w:r>
      <w:r w:rsidR="00984174" w:rsidRPr="00D47D9F">
        <w:rPr>
          <w:rFonts w:asciiTheme="minorHAnsi" w:hAnsiTheme="minorHAnsi" w:cstheme="minorHAnsi"/>
          <w:sz w:val="22"/>
          <w:szCs w:val="22"/>
        </w:rPr>
        <w:t xml:space="preserve"> or manual repositioning</w:t>
      </w:r>
      <w:r w:rsidR="00B30BDE" w:rsidRPr="00D47D9F">
        <w:rPr>
          <w:rFonts w:asciiTheme="minorHAnsi" w:hAnsiTheme="minorHAnsi" w:cstheme="minorHAnsi"/>
          <w:sz w:val="22"/>
          <w:szCs w:val="22"/>
        </w:rPr>
        <w:t xml:space="preserve">. A repositioning schedule should contain detail of the frequency of repositioning and any challenges associated with particular positions. </w:t>
      </w:r>
      <w:r w:rsidR="00AE7161" w:rsidRPr="00D47D9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9900A7" w14:textId="54B6F7A7" w:rsidR="00984174" w:rsidRPr="00D47D9F" w:rsidRDefault="00BB5EE3" w:rsidP="00C22384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>Comorbidities: Where the risk assessment has identified comorbidities that impact on pressure ulcer risk</w:t>
      </w:r>
      <w:r w:rsidR="006D49A9" w:rsidRPr="00D47D9F">
        <w:rPr>
          <w:rFonts w:asciiTheme="minorHAnsi" w:hAnsiTheme="minorHAnsi" w:cstheme="minorHAnsi"/>
          <w:sz w:val="22"/>
          <w:szCs w:val="22"/>
        </w:rPr>
        <w:t xml:space="preserve"> these should be identified within the care plan and where possible</w:t>
      </w:r>
      <w:r w:rsidR="004D68F2">
        <w:rPr>
          <w:rFonts w:asciiTheme="minorHAnsi" w:hAnsiTheme="minorHAnsi" w:cstheme="minorHAnsi"/>
          <w:sz w:val="22"/>
          <w:szCs w:val="22"/>
        </w:rPr>
        <w:t>,</w:t>
      </w:r>
      <w:r w:rsidR="006D49A9" w:rsidRPr="00D47D9F">
        <w:rPr>
          <w:rFonts w:asciiTheme="minorHAnsi" w:hAnsiTheme="minorHAnsi" w:cstheme="minorHAnsi"/>
          <w:sz w:val="22"/>
          <w:szCs w:val="22"/>
        </w:rPr>
        <w:t xml:space="preserve"> appropriate actions taken</w:t>
      </w:r>
      <w:r w:rsidR="004D68F2">
        <w:rPr>
          <w:rFonts w:asciiTheme="minorHAnsi" w:hAnsiTheme="minorHAnsi" w:cstheme="minorHAnsi"/>
          <w:sz w:val="22"/>
          <w:szCs w:val="22"/>
        </w:rPr>
        <w:t xml:space="preserve"> -</w:t>
      </w:r>
      <w:r w:rsidR="006D49A9" w:rsidRPr="00D47D9F">
        <w:rPr>
          <w:rFonts w:asciiTheme="minorHAnsi" w:hAnsiTheme="minorHAnsi" w:cstheme="minorHAnsi"/>
          <w:sz w:val="22"/>
          <w:szCs w:val="22"/>
        </w:rPr>
        <w:t xml:space="preserve"> for example</w:t>
      </w:r>
      <w:r w:rsidR="004D68F2">
        <w:rPr>
          <w:rFonts w:asciiTheme="minorHAnsi" w:hAnsiTheme="minorHAnsi" w:cstheme="minorHAnsi"/>
          <w:sz w:val="22"/>
          <w:szCs w:val="22"/>
        </w:rPr>
        <w:t>,</w:t>
      </w:r>
      <w:r w:rsidR="006D49A9" w:rsidRPr="00D47D9F">
        <w:rPr>
          <w:rFonts w:asciiTheme="minorHAnsi" w:hAnsiTheme="minorHAnsi" w:cstheme="minorHAnsi"/>
          <w:sz w:val="22"/>
          <w:szCs w:val="22"/>
        </w:rPr>
        <w:t xml:space="preserve"> maintaining normoglycaemia.</w:t>
      </w:r>
    </w:p>
    <w:p w14:paraId="10BAA9EE" w14:textId="61C886FC" w:rsidR="006E71C6" w:rsidRPr="00D47D9F" w:rsidRDefault="006E71C6" w:rsidP="00C22384">
      <w:pPr>
        <w:pStyle w:val="NormalWeb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>Patient preference</w:t>
      </w:r>
      <w:r w:rsidR="006D49A9" w:rsidRPr="00D47D9F">
        <w:rPr>
          <w:rFonts w:asciiTheme="minorHAnsi" w:hAnsiTheme="minorHAnsi" w:cstheme="minorHAnsi"/>
          <w:sz w:val="22"/>
          <w:szCs w:val="22"/>
        </w:rPr>
        <w:t xml:space="preserve">: </w:t>
      </w:r>
      <w:r w:rsidR="00456436" w:rsidRPr="00D47D9F">
        <w:rPr>
          <w:rFonts w:asciiTheme="minorHAnsi" w:hAnsiTheme="minorHAnsi" w:cstheme="minorHAnsi"/>
          <w:sz w:val="22"/>
          <w:szCs w:val="22"/>
        </w:rPr>
        <w:t xml:space="preserve">The care plan should reflect the </w:t>
      </w:r>
      <w:r w:rsidR="00D96CF1" w:rsidRPr="00D47D9F">
        <w:rPr>
          <w:rFonts w:asciiTheme="minorHAnsi" w:hAnsiTheme="minorHAnsi" w:cstheme="minorHAnsi"/>
          <w:sz w:val="22"/>
          <w:szCs w:val="22"/>
        </w:rPr>
        <w:t>patient’s</w:t>
      </w:r>
      <w:r w:rsidR="00456436" w:rsidRPr="00D47D9F">
        <w:rPr>
          <w:rFonts w:asciiTheme="minorHAnsi" w:hAnsiTheme="minorHAnsi" w:cstheme="minorHAnsi"/>
          <w:sz w:val="22"/>
          <w:szCs w:val="22"/>
        </w:rPr>
        <w:t xml:space="preserve"> individual needs and preferences.</w:t>
      </w:r>
    </w:p>
    <w:p w14:paraId="6DF31C74" w14:textId="77777777" w:rsidR="006E71C6" w:rsidRPr="00D47D9F" w:rsidRDefault="006E71C6" w:rsidP="006E71C6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1B3052ED" w14:textId="60133AEA" w:rsidR="000970C2" w:rsidRPr="00D47D9F" w:rsidRDefault="000970C2">
      <w:pPr>
        <w:rPr>
          <w:rFonts w:cstheme="minorHAnsi"/>
        </w:rPr>
      </w:pPr>
    </w:p>
    <w:p w14:paraId="7C07C93A" w14:textId="0F353B8C" w:rsidR="008A06D7" w:rsidRPr="00D47D9F" w:rsidRDefault="008A06D7" w:rsidP="008A06D7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D47D9F">
        <w:rPr>
          <w:rFonts w:asciiTheme="minorHAnsi" w:hAnsiTheme="minorHAnsi" w:cstheme="minorHAnsi"/>
          <w:sz w:val="22"/>
          <w:szCs w:val="22"/>
        </w:rPr>
        <w:t>CQUIN Compliance</w:t>
      </w:r>
    </w:p>
    <w:p w14:paraId="40019CD6" w14:textId="167B1235" w:rsidR="008A06D7" w:rsidRPr="00D47D9F" w:rsidRDefault="008A06D7">
      <w:pPr>
        <w:rPr>
          <w:rFonts w:cstheme="minorHAnsi"/>
        </w:rPr>
      </w:pPr>
      <w:r w:rsidRPr="00D47D9F">
        <w:rPr>
          <w:rFonts w:cstheme="minorHAnsi"/>
        </w:rPr>
        <w:t xml:space="preserve">To achieve the CQUIN, </w:t>
      </w:r>
      <w:r w:rsidR="00DE7A73">
        <w:rPr>
          <w:rFonts w:cstheme="minorHAnsi"/>
        </w:rPr>
        <w:t>70 - 85</w:t>
      </w:r>
      <w:r w:rsidRPr="00D47D9F">
        <w:rPr>
          <w:rFonts w:cstheme="minorHAnsi"/>
        </w:rPr>
        <w:t xml:space="preserve">% of patients </w:t>
      </w:r>
      <w:r w:rsidR="00BB3AEE" w:rsidRPr="00D47D9F">
        <w:rPr>
          <w:rFonts w:cstheme="minorHAnsi"/>
        </w:rPr>
        <w:t>reviewed</w:t>
      </w:r>
      <w:r w:rsidRPr="00D47D9F">
        <w:rPr>
          <w:rFonts w:cstheme="minorHAnsi"/>
        </w:rPr>
        <w:t xml:space="preserve"> must have achieved </w:t>
      </w:r>
      <w:r w:rsidRPr="00D47D9F">
        <w:rPr>
          <w:rFonts w:cstheme="minorHAnsi"/>
          <w:b/>
          <w:bCs/>
        </w:rPr>
        <w:t>ALL</w:t>
      </w:r>
      <w:r w:rsidRPr="00D47D9F">
        <w:rPr>
          <w:rFonts w:cstheme="minorHAnsi"/>
        </w:rPr>
        <w:t xml:space="preserve"> the clinically relevant steps described within the indicator specification.  Missing any one of these constitutes a failure.  </w:t>
      </w:r>
    </w:p>
    <w:p w14:paraId="54EF09EA" w14:textId="1F783680" w:rsidR="008A06D7" w:rsidRPr="00D47D9F" w:rsidRDefault="008A06D7">
      <w:pPr>
        <w:rPr>
          <w:rFonts w:cstheme="minorHAnsi"/>
        </w:rPr>
      </w:pPr>
      <w:r w:rsidRPr="00D47D9F">
        <w:rPr>
          <w:rFonts w:cstheme="minorHAnsi"/>
        </w:rPr>
        <w:t xml:space="preserve">Please see </w:t>
      </w:r>
      <w:r w:rsidR="00D96CF1" w:rsidRPr="00D47D9F">
        <w:rPr>
          <w:rFonts w:cstheme="minorHAnsi"/>
        </w:rPr>
        <w:t>the CQUIN section</w:t>
      </w:r>
      <w:r w:rsidRPr="00D47D9F">
        <w:rPr>
          <w:rFonts w:cstheme="minorHAnsi"/>
        </w:rPr>
        <w:t xml:space="preserve"> on </w:t>
      </w:r>
      <w:hyperlink r:id="rId13" w:history="1">
        <w:r w:rsidR="002B7031" w:rsidRPr="00D47D9F">
          <w:rPr>
            <w:rStyle w:val="Hyperlink"/>
            <w:rFonts w:cstheme="minorHAnsi"/>
          </w:rPr>
          <w:t>National Wound Care Strategy</w:t>
        </w:r>
      </w:hyperlink>
      <w:r w:rsidR="002B7031" w:rsidRPr="00D47D9F">
        <w:rPr>
          <w:rFonts w:cstheme="minorHAnsi"/>
        </w:rPr>
        <w:t xml:space="preserve"> web site </w:t>
      </w:r>
      <w:r w:rsidRPr="00D47D9F">
        <w:rPr>
          <w:rFonts w:cstheme="minorHAnsi"/>
        </w:rPr>
        <w:t xml:space="preserve">for further information.  </w:t>
      </w:r>
    </w:p>
    <w:p w14:paraId="3A4E5194" w14:textId="7FE07391" w:rsidR="008A06D7" w:rsidRDefault="008A06D7">
      <w:pPr>
        <w:rPr>
          <w:rStyle w:val="contentpasted0"/>
          <w:rFonts w:ascii="Tahoma" w:hAnsi="Tahoma" w:cs="Tahoma"/>
          <w:sz w:val="20"/>
          <w:szCs w:val="20"/>
        </w:rPr>
      </w:pPr>
      <w:r w:rsidRPr="00D47D9F">
        <w:rPr>
          <w:rFonts w:cstheme="minorHAnsi"/>
        </w:rPr>
        <w:t xml:space="preserve">For access, email </w:t>
      </w:r>
      <w:hyperlink r:id="rId14" w:history="1">
        <w:r w:rsidR="00DE7550" w:rsidRPr="0076033D">
          <w:rPr>
            <w:rStyle w:val="Hyperlink"/>
            <w:rFonts w:ascii="Tahoma" w:hAnsi="Tahoma" w:cs="Tahoma"/>
            <w:sz w:val="20"/>
            <w:szCs w:val="20"/>
          </w:rPr>
          <w:t>Natwoundstrat@mft.nhs.uk</w:t>
        </w:r>
      </w:hyperlink>
    </w:p>
    <w:p w14:paraId="5D081C8D" w14:textId="77777777" w:rsidR="00DE7550" w:rsidRPr="003E5B90" w:rsidRDefault="00DE7550"/>
    <w:sectPr w:rsidR="00DE7550" w:rsidRPr="003E5B90" w:rsidSect="002C455C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3233" w14:textId="77777777" w:rsidR="00B25C3B" w:rsidRDefault="00B25C3B" w:rsidP="000970C2">
      <w:pPr>
        <w:spacing w:after="0" w:line="240" w:lineRule="auto"/>
      </w:pPr>
      <w:r>
        <w:separator/>
      </w:r>
    </w:p>
  </w:endnote>
  <w:endnote w:type="continuationSeparator" w:id="0">
    <w:p w14:paraId="1D3B690B" w14:textId="77777777" w:rsidR="00B25C3B" w:rsidRDefault="00B25C3B" w:rsidP="0009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8DA08" w14:textId="77777777" w:rsidR="00B25C3B" w:rsidRDefault="00B25C3B" w:rsidP="000970C2">
      <w:pPr>
        <w:spacing w:after="0" w:line="240" w:lineRule="auto"/>
      </w:pPr>
      <w:r>
        <w:separator/>
      </w:r>
    </w:p>
  </w:footnote>
  <w:footnote w:type="continuationSeparator" w:id="0">
    <w:p w14:paraId="76B99CD2" w14:textId="77777777" w:rsidR="00B25C3B" w:rsidRDefault="00B25C3B" w:rsidP="000970C2">
      <w:pPr>
        <w:spacing w:after="0" w:line="240" w:lineRule="auto"/>
      </w:pPr>
      <w:r>
        <w:continuationSeparator/>
      </w:r>
    </w:p>
  </w:footnote>
  <w:footnote w:id="1">
    <w:p w14:paraId="6E3EEF4A" w14:textId="77777777" w:rsidR="00F77AA0" w:rsidRDefault="00F77AA0" w:rsidP="00F77AA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1FB5">
        <w:t>https://www.nice.org.uk/guidance/qs89/chapter/Quality-statement-1-Pressure-ulcer-risk-assessment-in-hospitals-and-care-homes-with-nursing</w:t>
      </w:r>
    </w:p>
  </w:footnote>
  <w:footnote w:id="2">
    <w:p w14:paraId="6B5EE9CD" w14:textId="77777777" w:rsidR="00F77AA0" w:rsidRDefault="00F77AA0" w:rsidP="00F77AA0">
      <w:pPr>
        <w:pStyle w:val="FootnoteText"/>
      </w:pPr>
      <w:r>
        <w:rPr>
          <w:rStyle w:val="FootnoteReference"/>
        </w:rPr>
        <w:footnoteRef/>
      </w:r>
      <w:r>
        <w:t xml:space="preserve"> Indicate, yes, no, or not applicable i.e., patient not at risk therefore care plan not required, patient length of stay less than 30 days reassessment not required</w:t>
      </w:r>
    </w:p>
  </w:footnote>
  <w:footnote w:id="3">
    <w:p w14:paraId="59CE4B43" w14:textId="5DCB5B1A" w:rsidR="000C769C" w:rsidRDefault="000C769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503B4">
        <w:t xml:space="preserve">SSKIN = </w:t>
      </w:r>
      <w:r>
        <w:t xml:space="preserve">Skin, Surface, </w:t>
      </w:r>
      <w:r w:rsidR="00B503B4">
        <w:t>K</w:t>
      </w:r>
      <w:r>
        <w:t>eep moving, Incontinence and Nutrition and hydration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13DC3" w14:textId="66AD44FA" w:rsidR="009024DD" w:rsidRDefault="009024DD" w:rsidP="009024DD">
    <w:pPr>
      <w:pStyle w:val="Header"/>
      <w:jc w:val="right"/>
    </w:pPr>
    <w:r>
      <w:fldChar w:fldCharType="begin"/>
    </w:r>
    <w:r>
      <w:instrText xml:space="preserve"> DATE \@ "dd/MM/yyyy" </w:instrText>
    </w:r>
    <w:r>
      <w:fldChar w:fldCharType="separate"/>
    </w:r>
    <w:r w:rsidR="00D01E19">
      <w:rPr>
        <w:noProof/>
      </w:rPr>
      <w:t>17/02/2023</w:t>
    </w:r>
    <w:r>
      <w:fldChar w:fldCharType="end"/>
    </w:r>
  </w:p>
  <w:p w14:paraId="519C9587" w14:textId="26D10107" w:rsidR="00F03047" w:rsidRDefault="00F030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D3D6" w14:textId="203FA098" w:rsidR="008E0F72" w:rsidRDefault="00D01E19" w:rsidP="008E0F72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00A017" wp14:editId="51F8CC32">
          <wp:simplePos x="0" y="0"/>
          <wp:positionH relativeFrom="column">
            <wp:posOffset>76200</wp:posOffset>
          </wp:positionH>
          <wp:positionV relativeFrom="paragraph">
            <wp:posOffset>9525</wp:posOffset>
          </wp:positionV>
          <wp:extent cx="1876425" cy="400050"/>
          <wp:effectExtent l="0" t="0" r="9525" b="0"/>
          <wp:wrapTight wrapText="bothSides">
            <wp:wrapPolygon edited="0">
              <wp:start x="0" y="0"/>
              <wp:lineTo x="0" y="20571"/>
              <wp:lineTo x="21490" y="20571"/>
              <wp:lineTo x="21490" y="0"/>
              <wp:lineTo x="0" y="0"/>
            </wp:wrapPolygon>
          </wp:wrapTight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F72">
      <w:fldChar w:fldCharType="begin"/>
    </w:r>
    <w:r w:rsidR="008E0F72">
      <w:instrText xml:space="preserve"> DATE \@ "dd MMMM yyyy" </w:instrText>
    </w:r>
    <w:r w:rsidR="008E0F72">
      <w:fldChar w:fldCharType="separate"/>
    </w:r>
    <w:r>
      <w:rPr>
        <w:noProof/>
      </w:rPr>
      <w:t>17 February 2023</w:t>
    </w:r>
    <w:r w:rsidR="008E0F72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1BB7"/>
    <w:multiLevelType w:val="hybridMultilevel"/>
    <w:tmpl w:val="420C557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0A94"/>
    <w:multiLevelType w:val="multilevel"/>
    <w:tmpl w:val="CFA80D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73F30"/>
    <w:multiLevelType w:val="hybridMultilevel"/>
    <w:tmpl w:val="270C6C0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82B5B"/>
    <w:multiLevelType w:val="hybridMultilevel"/>
    <w:tmpl w:val="A6D481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2C394C"/>
    <w:multiLevelType w:val="hybridMultilevel"/>
    <w:tmpl w:val="A8A20098"/>
    <w:lvl w:ilvl="0" w:tplc="2528C4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10294"/>
    <w:multiLevelType w:val="hybridMultilevel"/>
    <w:tmpl w:val="0A166D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57754">
    <w:abstractNumId w:val="0"/>
  </w:num>
  <w:num w:numId="2" w16cid:durableId="223227048">
    <w:abstractNumId w:val="3"/>
  </w:num>
  <w:num w:numId="3" w16cid:durableId="1295059601">
    <w:abstractNumId w:val="4"/>
  </w:num>
  <w:num w:numId="4" w16cid:durableId="337732447">
    <w:abstractNumId w:val="2"/>
  </w:num>
  <w:num w:numId="5" w16cid:durableId="58523911">
    <w:abstractNumId w:val="1"/>
  </w:num>
  <w:num w:numId="6" w16cid:durableId="9655466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F6"/>
    <w:rsid w:val="00001292"/>
    <w:rsid w:val="00012686"/>
    <w:rsid w:val="000323F2"/>
    <w:rsid w:val="0003642D"/>
    <w:rsid w:val="00056098"/>
    <w:rsid w:val="00056741"/>
    <w:rsid w:val="00062199"/>
    <w:rsid w:val="0006239E"/>
    <w:rsid w:val="0009014F"/>
    <w:rsid w:val="000915E3"/>
    <w:rsid w:val="000970C2"/>
    <w:rsid w:val="000A1ABF"/>
    <w:rsid w:val="000C769C"/>
    <w:rsid w:val="000D79E9"/>
    <w:rsid w:val="001078D9"/>
    <w:rsid w:val="0011020F"/>
    <w:rsid w:val="00114BBA"/>
    <w:rsid w:val="00116B21"/>
    <w:rsid w:val="00146D83"/>
    <w:rsid w:val="00150FAF"/>
    <w:rsid w:val="0016022A"/>
    <w:rsid w:val="0016565A"/>
    <w:rsid w:val="00170FA5"/>
    <w:rsid w:val="00185080"/>
    <w:rsid w:val="001A66CF"/>
    <w:rsid w:val="001B479C"/>
    <w:rsid w:val="001C1381"/>
    <w:rsid w:val="001C2F3D"/>
    <w:rsid w:val="001D475B"/>
    <w:rsid w:val="001E30C1"/>
    <w:rsid w:val="001F18EA"/>
    <w:rsid w:val="001F2502"/>
    <w:rsid w:val="001F3A03"/>
    <w:rsid w:val="00211E09"/>
    <w:rsid w:val="00227071"/>
    <w:rsid w:val="002421EF"/>
    <w:rsid w:val="00254CE1"/>
    <w:rsid w:val="0026124F"/>
    <w:rsid w:val="00265FF4"/>
    <w:rsid w:val="002831CF"/>
    <w:rsid w:val="002B4A1C"/>
    <w:rsid w:val="002B7031"/>
    <w:rsid w:val="002C455C"/>
    <w:rsid w:val="002D3B1F"/>
    <w:rsid w:val="002D61E2"/>
    <w:rsid w:val="002F51E3"/>
    <w:rsid w:val="00300AA0"/>
    <w:rsid w:val="0030761E"/>
    <w:rsid w:val="00312057"/>
    <w:rsid w:val="00324D79"/>
    <w:rsid w:val="00330B9B"/>
    <w:rsid w:val="00346CF8"/>
    <w:rsid w:val="0036464E"/>
    <w:rsid w:val="0037539D"/>
    <w:rsid w:val="00380215"/>
    <w:rsid w:val="00396295"/>
    <w:rsid w:val="003A55E9"/>
    <w:rsid w:val="003A7BB9"/>
    <w:rsid w:val="003D4B69"/>
    <w:rsid w:val="003E5B90"/>
    <w:rsid w:val="003E6D4A"/>
    <w:rsid w:val="003F5683"/>
    <w:rsid w:val="00434603"/>
    <w:rsid w:val="00456436"/>
    <w:rsid w:val="00464FD6"/>
    <w:rsid w:val="0047159C"/>
    <w:rsid w:val="0049435F"/>
    <w:rsid w:val="004A2B8E"/>
    <w:rsid w:val="004C4DDB"/>
    <w:rsid w:val="004C654B"/>
    <w:rsid w:val="004D68F2"/>
    <w:rsid w:val="004E0623"/>
    <w:rsid w:val="004E1D26"/>
    <w:rsid w:val="004E54ED"/>
    <w:rsid w:val="004F426C"/>
    <w:rsid w:val="00503DE6"/>
    <w:rsid w:val="00510C4A"/>
    <w:rsid w:val="00524F0D"/>
    <w:rsid w:val="00534842"/>
    <w:rsid w:val="005402B3"/>
    <w:rsid w:val="00540947"/>
    <w:rsid w:val="0054505E"/>
    <w:rsid w:val="00545D41"/>
    <w:rsid w:val="00562D86"/>
    <w:rsid w:val="0056474E"/>
    <w:rsid w:val="00570104"/>
    <w:rsid w:val="005812B4"/>
    <w:rsid w:val="00582B6E"/>
    <w:rsid w:val="005921C9"/>
    <w:rsid w:val="0059517C"/>
    <w:rsid w:val="005B10B2"/>
    <w:rsid w:val="005B4058"/>
    <w:rsid w:val="005B6D6B"/>
    <w:rsid w:val="005B7D6D"/>
    <w:rsid w:val="005C34D8"/>
    <w:rsid w:val="005C4347"/>
    <w:rsid w:val="005C4B75"/>
    <w:rsid w:val="005D2561"/>
    <w:rsid w:val="005D32CE"/>
    <w:rsid w:val="005E0BE6"/>
    <w:rsid w:val="005F6641"/>
    <w:rsid w:val="00604F58"/>
    <w:rsid w:val="0060515A"/>
    <w:rsid w:val="00625AD0"/>
    <w:rsid w:val="00641C35"/>
    <w:rsid w:val="006570FA"/>
    <w:rsid w:val="00657167"/>
    <w:rsid w:val="006670C0"/>
    <w:rsid w:val="00671F52"/>
    <w:rsid w:val="006831BB"/>
    <w:rsid w:val="006B452B"/>
    <w:rsid w:val="006B7089"/>
    <w:rsid w:val="006D49A9"/>
    <w:rsid w:val="006D5693"/>
    <w:rsid w:val="006E39DF"/>
    <w:rsid w:val="006E71C6"/>
    <w:rsid w:val="00701F31"/>
    <w:rsid w:val="00711844"/>
    <w:rsid w:val="00711F47"/>
    <w:rsid w:val="00752DB0"/>
    <w:rsid w:val="00761159"/>
    <w:rsid w:val="00762319"/>
    <w:rsid w:val="00774860"/>
    <w:rsid w:val="00782B0F"/>
    <w:rsid w:val="007852B1"/>
    <w:rsid w:val="0078723A"/>
    <w:rsid w:val="007B7610"/>
    <w:rsid w:val="007D4C97"/>
    <w:rsid w:val="00804E84"/>
    <w:rsid w:val="008229B5"/>
    <w:rsid w:val="00837909"/>
    <w:rsid w:val="00841827"/>
    <w:rsid w:val="00847401"/>
    <w:rsid w:val="008648A6"/>
    <w:rsid w:val="00865BC5"/>
    <w:rsid w:val="0086692D"/>
    <w:rsid w:val="00872726"/>
    <w:rsid w:val="00887FC7"/>
    <w:rsid w:val="008955CA"/>
    <w:rsid w:val="008A06D7"/>
    <w:rsid w:val="008A09DF"/>
    <w:rsid w:val="008A0CC6"/>
    <w:rsid w:val="008B4A65"/>
    <w:rsid w:val="008B701E"/>
    <w:rsid w:val="008D0F3B"/>
    <w:rsid w:val="008E0F72"/>
    <w:rsid w:val="008E1635"/>
    <w:rsid w:val="008E2784"/>
    <w:rsid w:val="008E6D78"/>
    <w:rsid w:val="008F74F4"/>
    <w:rsid w:val="00900DC8"/>
    <w:rsid w:val="009022B3"/>
    <w:rsid w:val="009024DD"/>
    <w:rsid w:val="00904DD1"/>
    <w:rsid w:val="0090624D"/>
    <w:rsid w:val="00922746"/>
    <w:rsid w:val="00922EAE"/>
    <w:rsid w:val="0095505E"/>
    <w:rsid w:val="009567C1"/>
    <w:rsid w:val="00964794"/>
    <w:rsid w:val="00977791"/>
    <w:rsid w:val="00984174"/>
    <w:rsid w:val="00986086"/>
    <w:rsid w:val="009940C1"/>
    <w:rsid w:val="009C68E1"/>
    <w:rsid w:val="009E7C4E"/>
    <w:rsid w:val="009F0A52"/>
    <w:rsid w:val="00A007C8"/>
    <w:rsid w:val="00A133E4"/>
    <w:rsid w:val="00A164C0"/>
    <w:rsid w:val="00A16DFB"/>
    <w:rsid w:val="00A34B7D"/>
    <w:rsid w:val="00A3644D"/>
    <w:rsid w:val="00A43283"/>
    <w:rsid w:val="00A518BC"/>
    <w:rsid w:val="00A5625B"/>
    <w:rsid w:val="00A75899"/>
    <w:rsid w:val="00A776A0"/>
    <w:rsid w:val="00A80CE3"/>
    <w:rsid w:val="00A83959"/>
    <w:rsid w:val="00A87463"/>
    <w:rsid w:val="00AB4BEA"/>
    <w:rsid w:val="00AB55C4"/>
    <w:rsid w:val="00AB6CF8"/>
    <w:rsid w:val="00AC20AD"/>
    <w:rsid w:val="00AC5428"/>
    <w:rsid w:val="00AC7B90"/>
    <w:rsid w:val="00AD35CC"/>
    <w:rsid w:val="00AD380F"/>
    <w:rsid w:val="00AD624C"/>
    <w:rsid w:val="00AE7161"/>
    <w:rsid w:val="00B17421"/>
    <w:rsid w:val="00B17F47"/>
    <w:rsid w:val="00B20E73"/>
    <w:rsid w:val="00B21168"/>
    <w:rsid w:val="00B25C3B"/>
    <w:rsid w:val="00B26F51"/>
    <w:rsid w:val="00B30BDE"/>
    <w:rsid w:val="00B40AD7"/>
    <w:rsid w:val="00B40D5F"/>
    <w:rsid w:val="00B503B4"/>
    <w:rsid w:val="00B54674"/>
    <w:rsid w:val="00B900B0"/>
    <w:rsid w:val="00B9157A"/>
    <w:rsid w:val="00BA492C"/>
    <w:rsid w:val="00BA4FA7"/>
    <w:rsid w:val="00BA562F"/>
    <w:rsid w:val="00BA7FA8"/>
    <w:rsid w:val="00BB3AEE"/>
    <w:rsid w:val="00BB5EE3"/>
    <w:rsid w:val="00BE10A2"/>
    <w:rsid w:val="00C22384"/>
    <w:rsid w:val="00C234F4"/>
    <w:rsid w:val="00C24A3E"/>
    <w:rsid w:val="00C3150E"/>
    <w:rsid w:val="00C316A3"/>
    <w:rsid w:val="00C35D15"/>
    <w:rsid w:val="00C40004"/>
    <w:rsid w:val="00C52F12"/>
    <w:rsid w:val="00C5427C"/>
    <w:rsid w:val="00C74A23"/>
    <w:rsid w:val="00C764C3"/>
    <w:rsid w:val="00C779B9"/>
    <w:rsid w:val="00CB48C5"/>
    <w:rsid w:val="00CE58EA"/>
    <w:rsid w:val="00CF0696"/>
    <w:rsid w:val="00D01E19"/>
    <w:rsid w:val="00D15BCD"/>
    <w:rsid w:val="00D47D9F"/>
    <w:rsid w:val="00D85171"/>
    <w:rsid w:val="00D9291E"/>
    <w:rsid w:val="00D96CF1"/>
    <w:rsid w:val="00DB2DAF"/>
    <w:rsid w:val="00DB44E1"/>
    <w:rsid w:val="00DC1FB5"/>
    <w:rsid w:val="00DD6899"/>
    <w:rsid w:val="00DE0106"/>
    <w:rsid w:val="00DE3539"/>
    <w:rsid w:val="00DE7550"/>
    <w:rsid w:val="00DE7A73"/>
    <w:rsid w:val="00DF0E36"/>
    <w:rsid w:val="00DF3112"/>
    <w:rsid w:val="00E03C39"/>
    <w:rsid w:val="00E06FF0"/>
    <w:rsid w:val="00E1200B"/>
    <w:rsid w:val="00E16078"/>
    <w:rsid w:val="00E22E9D"/>
    <w:rsid w:val="00E270CE"/>
    <w:rsid w:val="00E45829"/>
    <w:rsid w:val="00E64493"/>
    <w:rsid w:val="00E71360"/>
    <w:rsid w:val="00E73B4B"/>
    <w:rsid w:val="00E82C80"/>
    <w:rsid w:val="00E83777"/>
    <w:rsid w:val="00E90D50"/>
    <w:rsid w:val="00E928FE"/>
    <w:rsid w:val="00EA1A68"/>
    <w:rsid w:val="00EA3D97"/>
    <w:rsid w:val="00EA60AE"/>
    <w:rsid w:val="00EB0C27"/>
    <w:rsid w:val="00EC1DAB"/>
    <w:rsid w:val="00EE132E"/>
    <w:rsid w:val="00EE4791"/>
    <w:rsid w:val="00EE57C6"/>
    <w:rsid w:val="00EF6240"/>
    <w:rsid w:val="00F03047"/>
    <w:rsid w:val="00F32EDE"/>
    <w:rsid w:val="00F4511E"/>
    <w:rsid w:val="00F56F5D"/>
    <w:rsid w:val="00F62F9A"/>
    <w:rsid w:val="00F740B2"/>
    <w:rsid w:val="00F77AA0"/>
    <w:rsid w:val="00F81047"/>
    <w:rsid w:val="00F81097"/>
    <w:rsid w:val="00F83B46"/>
    <w:rsid w:val="00F869F6"/>
    <w:rsid w:val="00F90C1C"/>
    <w:rsid w:val="00FB58C5"/>
    <w:rsid w:val="00FC3A02"/>
    <w:rsid w:val="00FE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BE319"/>
  <w15:chartTrackingRefBased/>
  <w15:docId w15:val="{6BF4EFB0-342F-45F9-9D8F-13771C0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06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01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1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5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5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9C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~FootnoteText,Footnote,Alt Footnote Text,ALTS FOOTNOTE,DTE-Voetnoottekst"/>
    <w:basedOn w:val="Normal"/>
    <w:link w:val="FootnoteTextChar"/>
    <w:uiPriority w:val="99"/>
    <w:unhideWhenUsed/>
    <w:qFormat/>
    <w:rsid w:val="000970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~FootnoteText Char,Footnote Char,Alt Footnote Text Char,ALTS FOOTNOTE Char,DTE-Voetnoottekst Char"/>
    <w:basedOn w:val="DefaultParagraphFont"/>
    <w:link w:val="FootnoteText"/>
    <w:uiPriority w:val="99"/>
    <w:rsid w:val="000970C2"/>
    <w:rPr>
      <w:sz w:val="20"/>
      <w:szCs w:val="20"/>
    </w:rPr>
  </w:style>
  <w:style w:type="character" w:styleId="FootnoteReference">
    <w:name w:val="footnote reference"/>
    <w:aliases w:val="PD Footnote Reference,~FootnoteRef"/>
    <w:basedOn w:val="DefaultParagraphFont"/>
    <w:uiPriority w:val="99"/>
    <w:unhideWhenUsed/>
    <w:rsid w:val="000970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70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3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B2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2D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03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047"/>
  </w:style>
  <w:style w:type="paragraph" w:styleId="Footer">
    <w:name w:val="footer"/>
    <w:basedOn w:val="Normal"/>
    <w:link w:val="FooterChar"/>
    <w:uiPriority w:val="99"/>
    <w:unhideWhenUsed/>
    <w:rsid w:val="00F03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047"/>
  </w:style>
  <w:style w:type="character" w:styleId="UnresolvedMention">
    <w:name w:val="Unresolved Mention"/>
    <w:basedOn w:val="DefaultParagraphFont"/>
    <w:uiPriority w:val="99"/>
    <w:semiHidden/>
    <w:unhideWhenUsed/>
    <w:rsid w:val="00AB6CF8"/>
    <w:rPr>
      <w:color w:val="605E5C"/>
      <w:shd w:val="clear" w:color="auto" w:fill="E1DFDD"/>
    </w:rPr>
  </w:style>
  <w:style w:type="paragraph" w:customStyle="1" w:styleId="Default">
    <w:name w:val="Default"/>
    <w:rsid w:val="008E0F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0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EA60AE"/>
    <w:rPr>
      <w:color w:val="0070C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1F3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B70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8B7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pasted0">
    <w:name w:val="contentpasted0"/>
    <w:basedOn w:val="DefaultParagraphFont"/>
    <w:rsid w:val="00DE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ationalwoundcarestrategy.net/cqu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cg17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pen.org.uk/screening-and-must/must-calculato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ce.org.uk/guidance/qs89/chapter/Quality-statement-1-Pressure-ulcer-risk-assessment-in-hospitals-and-care-homes-with-nursin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atwoundstrat@mft.nhs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8CD94-C509-42C5-BA49-A370977B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1142</Words>
  <Characters>6511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Adderley</dc:creator>
  <cp:keywords/>
  <dc:description/>
  <cp:lastModifiedBy>Shaw Frances (R0A) Manchester University NHS FT</cp:lastModifiedBy>
  <cp:revision>2</cp:revision>
  <dcterms:created xsi:type="dcterms:W3CDTF">2023-02-17T18:47:00Z</dcterms:created>
  <dcterms:modified xsi:type="dcterms:W3CDTF">2023-02-17T18:47:00Z</dcterms:modified>
</cp:coreProperties>
</file>