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5E23" w14:textId="77777777" w:rsidR="008E0F72" w:rsidRDefault="008E0F72" w:rsidP="00510C4A">
      <w:pPr>
        <w:pStyle w:val="Heading1"/>
        <w:spacing w:before="0"/>
        <w:jc w:val="center"/>
      </w:pPr>
      <w:bookmarkStart w:id="0" w:name="_Hlk25317812"/>
    </w:p>
    <w:p w14:paraId="122EE8D0" w14:textId="77777777" w:rsidR="00E4657D" w:rsidRDefault="00E4657D" w:rsidP="00E4657D">
      <w:pPr>
        <w:pStyle w:val="Heading1"/>
        <w:spacing w:before="0"/>
        <w:jc w:val="center"/>
      </w:pPr>
      <w:r>
        <w:t xml:space="preserve">Data Collection Form for </w:t>
      </w:r>
      <w:r w:rsidR="00510C4A">
        <w:t xml:space="preserve">CQUIN </w:t>
      </w:r>
      <w:r>
        <w:t xml:space="preserve">Audit </w:t>
      </w:r>
      <w:r w:rsidR="00380215">
        <w:t>CCG1</w:t>
      </w:r>
      <w:r w:rsidR="002977BF">
        <w:t>4</w:t>
      </w:r>
      <w:r w:rsidR="00380215">
        <w:t xml:space="preserve"> </w:t>
      </w:r>
    </w:p>
    <w:p w14:paraId="266C458C" w14:textId="3409BB48" w:rsidR="00F869F6" w:rsidRDefault="00E4657D" w:rsidP="00E4657D">
      <w:pPr>
        <w:pStyle w:val="Heading1"/>
        <w:spacing w:before="0"/>
        <w:jc w:val="center"/>
      </w:pPr>
      <w:r w:rsidRPr="00E4657D">
        <w:t>Assessment, diagnosis and treatment of lower leg wounds</w:t>
      </w:r>
      <w:r w:rsidR="00510C4A">
        <w:t xml:space="preserve"> (</w:t>
      </w:r>
      <w:r>
        <w:t>v</w:t>
      </w:r>
      <w:r w:rsidR="00830616">
        <w:t>4</w:t>
      </w:r>
      <w:r>
        <w:t>.1</w:t>
      </w:r>
      <w:r w:rsidR="00510C4A">
        <w:t>)</w:t>
      </w:r>
    </w:p>
    <w:p w14:paraId="1D76F9BE" w14:textId="77777777" w:rsidR="007769B4" w:rsidRPr="00406421" w:rsidRDefault="007769B4" w:rsidP="00510C4A">
      <w:pPr>
        <w:spacing w:after="0" w:line="240" w:lineRule="auto"/>
        <w:rPr>
          <w:sz w:val="8"/>
          <w:szCs w:val="8"/>
        </w:rPr>
      </w:pPr>
    </w:p>
    <w:p w14:paraId="60B9A712" w14:textId="28569AA2" w:rsidR="00510C4A" w:rsidRDefault="00510C4A" w:rsidP="00510C4A">
      <w:pPr>
        <w:spacing w:after="0" w:line="240" w:lineRule="auto"/>
      </w:pPr>
      <w:r>
        <w:t>Of the denominator, the number where the following audit criteria for diagnosis and treatment are</w:t>
      </w:r>
      <w:r w:rsidR="00EA1A68">
        <w:t xml:space="preserve"> </w:t>
      </w:r>
      <w:r>
        <w:t>met within 28 days of referral to service or, for a patient already receiving care from that service,</w:t>
      </w:r>
      <w:r w:rsidR="00EA1A68">
        <w:t xml:space="preserve"> </w:t>
      </w:r>
      <w:r>
        <w:t>within 28 days of a non- healing leg wound being identified and recorded:</w:t>
      </w:r>
    </w:p>
    <w:p w14:paraId="00E23EF2" w14:textId="77777777" w:rsidR="007769B4" w:rsidRPr="00406421" w:rsidRDefault="007769B4" w:rsidP="00510C4A">
      <w:pPr>
        <w:spacing w:after="0" w:line="240" w:lineRule="auto"/>
        <w:rPr>
          <w:sz w:val="8"/>
          <w:szCs w:val="8"/>
        </w:rPr>
      </w:pPr>
    </w:p>
    <w:tbl>
      <w:tblPr>
        <w:tblStyle w:val="TableGrid"/>
        <w:tblpPr w:leftFromText="180" w:rightFromText="180" w:vertAnchor="text" w:horzAnchor="margin" w:tblpXSpec="center" w:tblpY="54"/>
        <w:tblOverlap w:val="never"/>
        <w:tblW w:w="9356" w:type="dxa"/>
        <w:tblLayout w:type="fixed"/>
        <w:tblLook w:val="04A0" w:firstRow="1" w:lastRow="0" w:firstColumn="1" w:lastColumn="0" w:noHBand="0" w:noVBand="1"/>
      </w:tblPr>
      <w:tblGrid>
        <w:gridCol w:w="1807"/>
        <w:gridCol w:w="29"/>
        <w:gridCol w:w="6381"/>
        <w:gridCol w:w="1139"/>
      </w:tblGrid>
      <w:tr w:rsidR="00A518BC" w:rsidRPr="00DF3112" w14:paraId="6F48857F" w14:textId="77777777" w:rsidTr="00A518BC">
        <w:tc>
          <w:tcPr>
            <w:tcW w:w="1836" w:type="dxa"/>
            <w:gridSpan w:val="2"/>
            <w:tcBorders>
              <w:bottom w:val="single" w:sz="4" w:space="0" w:color="auto"/>
            </w:tcBorders>
            <w:shd w:val="clear" w:color="auto" w:fill="FFFFFF" w:themeFill="background1"/>
          </w:tcPr>
          <w:bookmarkEnd w:id="0"/>
          <w:p w14:paraId="378B5001" w14:textId="77777777" w:rsidR="00A518BC" w:rsidRDefault="00A518BC" w:rsidP="00A518BC">
            <w:pPr>
              <w:tabs>
                <w:tab w:val="left" w:pos="1455"/>
              </w:tabs>
              <w:rPr>
                <w:b/>
                <w:bCs/>
              </w:rPr>
            </w:pPr>
            <w:r>
              <w:rPr>
                <w:b/>
                <w:bCs/>
              </w:rPr>
              <w:t>Patient ID</w:t>
            </w:r>
          </w:p>
          <w:p w14:paraId="051A17F8" w14:textId="42B8686F" w:rsidR="00A518BC" w:rsidRPr="00380215" w:rsidRDefault="00A518BC" w:rsidP="00A518BC">
            <w:pPr>
              <w:tabs>
                <w:tab w:val="left" w:pos="1455"/>
              </w:tabs>
              <w:rPr>
                <w:b/>
                <w:bCs/>
              </w:rPr>
            </w:pPr>
            <w:r>
              <w:rPr>
                <w:b/>
                <w:bCs/>
              </w:rPr>
              <w:tab/>
            </w:r>
          </w:p>
        </w:tc>
        <w:tc>
          <w:tcPr>
            <w:tcW w:w="7520" w:type="dxa"/>
            <w:gridSpan w:val="2"/>
            <w:tcBorders>
              <w:bottom w:val="single" w:sz="4" w:space="0" w:color="auto"/>
            </w:tcBorders>
            <w:shd w:val="clear" w:color="auto" w:fill="FFFFFF" w:themeFill="background1"/>
          </w:tcPr>
          <w:p w14:paraId="4DD26288" w14:textId="38C8A977" w:rsidR="00A518BC" w:rsidRPr="00380215" w:rsidRDefault="00A518BC" w:rsidP="00A518BC">
            <w:pPr>
              <w:tabs>
                <w:tab w:val="left" w:pos="1455"/>
              </w:tabs>
              <w:rPr>
                <w:b/>
                <w:bCs/>
              </w:rPr>
            </w:pPr>
          </w:p>
        </w:tc>
      </w:tr>
      <w:tr w:rsidR="00A518BC" w:rsidRPr="00DF3112" w14:paraId="5EE3A8D2" w14:textId="77777777" w:rsidTr="00A518BC">
        <w:tc>
          <w:tcPr>
            <w:tcW w:w="9356" w:type="dxa"/>
            <w:gridSpan w:val="4"/>
            <w:tcBorders>
              <w:top w:val="single" w:sz="4" w:space="0" w:color="auto"/>
              <w:bottom w:val="single" w:sz="4" w:space="0" w:color="auto"/>
            </w:tcBorders>
            <w:shd w:val="clear" w:color="auto" w:fill="D9E2F3" w:themeFill="accent1" w:themeFillTint="33"/>
          </w:tcPr>
          <w:p w14:paraId="634FE562" w14:textId="0D05FDEC" w:rsidR="00A518BC" w:rsidRPr="00EA1A68" w:rsidRDefault="00A518BC" w:rsidP="00A518BC">
            <w:pPr>
              <w:rPr>
                <w:b/>
                <w:bCs/>
                <w:sz w:val="18"/>
                <w:szCs w:val="18"/>
              </w:rPr>
            </w:pPr>
            <w:r w:rsidRPr="00380215">
              <w:rPr>
                <w:b/>
                <w:bCs/>
              </w:rPr>
              <w:t>CQUIN CCG1</w:t>
            </w:r>
            <w:r w:rsidR="002977BF">
              <w:rPr>
                <w:b/>
                <w:bCs/>
              </w:rPr>
              <w:t>4</w:t>
            </w:r>
            <w:r w:rsidRPr="00380215">
              <w:rPr>
                <w:b/>
                <w:bCs/>
              </w:rPr>
              <w:t xml:space="preserve"> - Criteria 1:  </w:t>
            </w:r>
            <w:r w:rsidRPr="005921C9">
              <w:t>Documentation of a full leg wound assessment that meets the minimum requirements described in Lower Limb Assessment Essential Criteria. (see below)</w:t>
            </w:r>
          </w:p>
        </w:tc>
      </w:tr>
      <w:tr w:rsidR="00A518BC" w:rsidRPr="00DF3112" w14:paraId="4B717251" w14:textId="7D01B559" w:rsidTr="00A518BC">
        <w:tc>
          <w:tcPr>
            <w:tcW w:w="1807" w:type="dxa"/>
            <w:tcBorders>
              <w:bottom w:val="single" w:sz="4" w:space="0" w:color="auto"/>
            </w:tcBorders>
            <w:shd w:val="clear" w:color="auto" w:fill="D9E2F3" w:themeFill="accent1" w:themeFillTint="33"/>
          </w:tcPr>
          <w:p w14:paraId="3A51622B" w14:textId="6E838B93" w:rsidR="00A518BC" w:rsidRPr="00DF3112" w:rsidRDefault="00A518BC" w:rsidP="00A518BC">
            <w:pPr>
              <w:rPr>
                <w:b/>
                <w:bCs/>
              </w:rPr>
            </w:pPr>
            <w:r w:rsidRPr="00DF3112">
              <w:rPr>
                <w:b/>
                <w:bCs/>
              </w:rPr>
              <w:t>Domain</w:t>
            </w:r>
          </w:p>
        </w:tc>
        <w:tc>
          <w:tcPr>
            <w:tcW w:w="6410" w:type="dxa"/>
            <w:gridSpan w:val="2"/>
            <w:tcBorders>
              <w:bottom w:val="single" w:sz="4" w:space="0" w:color="auto"/>
            </w:tcBorders>
            <w:shd w:val="clear" w:color="auto" w:fill="D9E2F3" w:themeFill="accent1" w:themeFillTint="33"/>
          </w:tcPr>
          <w:p w14:paraId="5F2FE502" w14:textId="30D76D4F" w:rsidR="00A518BC" w:rsidRPr="00DF3112" w:rsidRDefault="00A518BC" w:rsidP="00A518BC">
            <w:pPr>
              <w:rPr>
                <w:b/>
                <w:bCs/>
              </w:rPr>
            </w:pPr>
            <w:r w:rsidRPr="00DF3112">
              <w:rPr>
                <w:b/>
                <w:bCs/>
              </w:rPr>
              <w:t>Data Item</w:t>
            </w:r>
          </w:p>
        </w:tc>
        <w:tc>
          <w:tcPr>
            <w:tcW w:w="1139" w:type="dxa"/>
            <w:shd w:val="clear" w:color="auto" w:fill="FFFFFF" w:themeFill="background1"/>
          </w:tcPr>
          <w:p w14:paraId="5DDD2B92" w14:textId="337FCA9F" w:rsidR="00A518BC" w:rsidRPr="00EA1A68" w:rsidRDefault="00A518BC" w:rsidP="00A518BC">
            <w:pPr>
              <w:rPr>
                <w:b/>
                <w:bCs/>
                <w:sz w:val="18"/>
                <w:szCs w:val="18"/>
              </w:rPr>
            </w:pPr>
            <w:r w:rsidRPr="00EA1A68">
              <w:rPr>
                <w:b/>
                <w:bCs/>
                <w:sz w:val="18"/>
                <w:szCs w:val="18"/>
              </w:rPr>
              <w:t>Achieved</w:t>
            </w:r>
          </w:p>
        </w:tc>
      </w:tr>
      <w:tr w:rsidR="00A518BC" w14:paraId="6DBC11D1" w14:textId="4E2FCE62" w:rsidTr="00A518BC">
        <w:tc>
          <w:tcPr>
            <w:tcW w:w="1807" w:type="dxa"/>
            <w:vMerge w:val="restart"/>
            <w:shd w:val="clear" w:color="auto" w:fill="D9E2F3" w:themeFill="accent1" w:themeFillTint="33"/>
          </w:tcPr>
          <w:p w14:paraId="5A3B592D" w14:textId="7667B2B0" w:rsidR="00A518BC" w:rsidRPr="00E64493" w:rsidRDefault="00A518BC" w:rsidP="00A518BC">
            <w:pPr>
              <w:rPr>
                <w:b/>
                <w:bCs/>
                <w:vertAlign w:val="superscript"/>
              </w:rPr>
            </w:pPr>
            <w:r w:rsidRPr="00E64493">
              <w:rPr>
                <w:b/>
                <w:bCs/>
              </w:rPr>
              <w:t xml:space="preserve">General Health Information </w:t>
            </w:r>
            <w:r w:rsidRPr="00E64493">
              <w:rPr>
                <w:b/>
                <w:bCs/>
                <w:vertAlign w:val="superscript"/>
              </w:rPr>
              <w:t>1,</w:t>
            </w:r>
            <w:r w:rsidRPr="00E64493">
              <w:rPr>
                <w:b/>
                <w:bCs/>
              </w:rPr>
              <w:t xml:space="preserve"> </w:t>
            </w:r>
            <w:r w:rsidRPr="00E64493">
              <w:rPr>
                <w:b/>
                <w:bCs/>
                <w:vertAlign w:val="superscript"/>
              </w:rPr>
              <w:t>a</w:t>
            </w:r>
          </w:p>
        </w:tc>
        <w:tc>
          <w:tcPr>
            <w:tcW w:w="6410" w:type="dxa"/>
            <w:gridSpan w:val="2"/>
            <w:shd w:val="clear" w:color="auto" w:fill="D9E2F3" w:themeFill="accent1" w:themeFillTint="33"/>
          </w:tcPr>
          <w:p w14:paraId="31D905B0" w14:textId="2ADF7D7E" w:rsidR="00A518BC" w:rsidRDefault="00A518BC" w:rsidP="00A518BC">
            <w:r w:rsidRPr="00DF3112">
              <w:t>Risk factors for delayed healing</w:t>
            </w:r>
            <w:r>
              <w:t xml:space="preserve"> </w:t>
            </w:r>
            <w:r>
              <w:rPr>
                <w:vertAlign w:val="superscript"/>
              </w:rPr>
              <w:t>b</w:t>
            </w:r>
            <w:r w:rsidRPr="00DF3112">
              <w:t xml:space="preserve"> </w:t>
            </w:r>
          </w:p>
        </w:tc>
        <w:tc>
          <w:tcPr>
            <w:tcW w:w="1139" w:type="dxa"/>
          </w:tcPr>
          <w:p w14:paraId="30A82913" w14:textId="77777777" w:rsidR="00A518BC" w:rsidRPr="00DF3112" w:rsidRDefault="00A518BC" w:rsidP="00A518BC"/>
        </w:tc>
      </w:tr>
      <w:tr w:rsidR="00A518BC" w14:paraId="4F4F5C8C" w14:textId="69167A9C" w:rsidTr="00A518BC">
        <w:tc>
          <w:tcPr>
            <w:tcW w:w="1807" w:type="dxa"/>
            <w:vMerge/>
            <w:shd w:val="clear" w:color="auto" w:fill="D9E2F3" w:themeFill="accent1" w:themeFillTint="33"/>
          </w:tcPr>
          <w:p w14:paraId="630479CE" w14:textId="77777777" w:rsidR="00A518BC" w:rsidRDefault="00A518BC" w:rsidP="00A518BC"/>
        </w:tc>
        <w:tc>
          <w:tcPr>
            <w:tcW w:w="6410" w:type="dxa"/>
            <w:gridSpan w:val="2"/>
            <w:shd w:val="clear" w:color="auto" w:fill="D9E2F3" w:themeFill="accent1" w:themeFillTint="33"/>
          </w:tcPr>
          <w:p w14:paraId="3DC1CFD8" w14:textId="3F307BB2" w:rsidR="00A518BC" w:rsidRDefault="00A518BC" w:rsidP="00A518BC">
            <w:r w:rsidRPr="00DF3112">
              <w:t>Allergies</w:t>
            </w:r>
          </w:p>
        </w:tc>
        <w:tc>
          <w:tcPr>
            <w:tcW w:w="1139" w:type="dxa"/>
          </w:tcPr>
          <w:p w14:paraId="315A7674" w14:textId="77777777" w:rsidR="00A518BC" w:rsidRPr="00DF3112" w:rsidRDefault="00A518BC" w:rsidP="00A518BC"/>
        </w:tc>
      </w:tr>
      <w:tr w:rsidR="00A518BC" w14:paraId="0AF35434" w14:textId="7E5FECEA" w:rsidTr="00A518BC">
        <w:tc>
          <w:tcPr>
            <w:tcW w:w="1807" w:type="dxa"/>
            <w:vMerge/>
            <w:shd w:val="clear" w:color="auto" w:fill="D9E2F3" w:themeFill="accent1" w:themeFillTint="33"/>
          </w:tcPr>
          <w:p w14:paraId="329E40D9" w14:textId="77777777" w:rsidR="00A518BC" w:rsidRDefault="00A518BC" w:rsidP="00A518BC"/>
        </w:tc>
        <w:tc>
          <w:tcPr>
            <w:tcW w:w="6410" w:type="dxa"/>
            <w:gridSpan w:val="2"/>
            <w:shd w:val="clear" w:color="auto" w:fill="D9E2F3" w:themeFill="accent1" w:themeFillTint="33"/>
          </w:tcPr>
          <w:p w14:paraId="7C2AA470" w14:textId="17FCCFF1" w:rsidR="00A518BC" w:rsidRDefault="00A518BC" w:rsidP="00A518BC">
            <w:r w:rsidRPr="00DF3112">
              <w:t>Skin sensitivities</w:t>
            </w:r>
          </w:p>
        </w:tc>
        <w:tc>
          <w:tcPr>
            <w:tcW w:w="1139" w:type="dxa"/>
          </w:tcPr>
          <w:p w14:paraId="022085DF" w14:textId="77777777" w:rsidR="00A518BC" w:rsidRPr="00DF3112" w:rsidRDefault="00A518BC" w:rsidP="00A518BC"/>
        </w:tc>
      </w:tr>
      <w:tr w:rsidR="00A518BC" w14:paraId="6DF3BB88" w14:textId="3BEE0A54" w:rsidTr="00A518BC">
        <w:tc>
          <w:tcPr>
            <w:tcW w:w="1807" w:type="dxa"/>
            <w:vMerge/>
            <w:shd w:val="clear" w:color="auto" w:fill="D9E2F3" w:themeFill="accent1" w:themeFillTint="33"/>
          </w:tcPr>
          <w:p w14:paraId="1731FBA6" w14:textId="77777777" w:rsidR="00A518BC" w:rsidRDefault="00A518BC" w:rsidP="00A518BC"/>
        </w:tc>
        <w:tc>
          <w:tcPr>
            <w:tcW w:w="6410" w:type="dxa"/>
            <w:gridSpan w:val="2"/>
            <w:shd w:val="clear" w:color="auto" w:fill="D9E2F3" w:themeFill="accent1" w:themeFillTint="33"/>
          </w:tcPr>
          <w:p w14:paraId="738FC7DF" w14:textId="081A2B41" w:rsidR="00A518BC" w:rsidRPr="00DF3112" w:rsidRDefault="00A518BC" w:rsidP="00A518BC">
            <w:r w:rsidRPr="00DF3112">
              <w:t>Impact of the wound on quality of life (physical, social &amp; emotional)</w:t>
            </w:r>
          </w:p>
        </w:tc>
        <w:tc>
          <w:tcPr>
            <w:tcW w:w="1139" w:type="dxa"/>
          </w:tcPr>
          <w:p w14:paraId="3D72500C" w14:textId="77777777" w:rsidR="00A518BC" w:rsidRPr="00DF3112" w:rsidRDefault="00A518BC" w:rsidP="00A518BC"/>
        </w:tc>
      </w:tr>
      <w:tr w:rsidR="00A518BC" w14:paraId="1D301C9D" w14:textId="7AB32510" w:rsidTr="00A518BC">
        <w:tc>
          <w:tcPr>
            <w:tcW w:w="1807" w:type="dxa"/>
            <w:vMerge/>
            <w:shd w:val="clear" w:color="auto" w:fill="D9E2F3" w:themeFill="accent1" w:themeFillTint="33"/>
          </w:tcPr>
          <w:p w14:paraId="2D89391F" w14:textId="77777777" w:rsidR="00A518BC" w:rsidRDefault="00A518BC" w:rsidP="00A518BC"/>
        </w:tc>
        <w:tc>
          <w:tcPr>
            <w:tcW w:w="6410" w:type="dxa"/>
            <w:gridSpan w:val="2"/>
            <w:shd w:val="clear" w:color="auto" w:fill="D9E2F3" w:themeFill="accent1" w:themeFillTint="33"/>
          </w:tcPr>
          <w:p w14:paraId="046120B3" w14:textId="5F12757C" w:rsidR="00A518BC" w:rsidRPr="00DF3112" w:rsidRDefault="00A518BC" w:rsidP="00A518BC">
            <w:r w:rsidRPr="00DF3112">
              <w:t>Information provided to patient and carers</w:t>
            </w:r>
          </w:p>
        </w:tc>
        <w:tc>
          <w:tcPr>
            <w:tcW w:w="1139" w:type="dxa"/>
          </w:tcPr>
          <w:p w14:paraId="7165627B" w14:textId="77777777" w:rsidR="00A518BC" w:rsidRPr="00DF3112" w:rsidRDefault="00A518BC" w:rsidP="00A518BC"/>
        </w:tc>
      </w:tr>
      <w:tr w:rsidR="00A518BC" w14:paraId="5028FB62" w14:textId="6E355570" w:rsidTr="00A518BC">
        <w:tc>
          <w:tcPr>
            <w:tcW w:w="1807" w:type="dxa"/>
            <w:vMerge w:val="restart"/>
            <w:shd w:val="clear" w:color="auto" w:fill="D9E2F3" w:themeFill="accent1" w:themeFillTint="33"/>
          </w:tcPr>
          <w:p w14:paraId="106CBE2F" w14:textId="033EF7DD" w:rsidR="00A518BC" w:rsidRPr="00E64493" w:rsidRDefault="00A518BC" w:rsidP="00A518BC">
            <w:pPr>
              <w:rPr>
                <w:b/>
                <w:bCs/>
                <w:vertAlign w:val="superscript"/>
              </w:rPr>
            </w:pPr>
            <w:r w:rsidRPr="00E64493">
              <w:rPr>
                <w:b/>
                <w:bCs/>
              </w:rPr>
              <w:t>Wound Baseline Information</w:t>
            </w:r>
            <w:r w:rsidRPr="00E64493">
              <w:rPr>
                <w:b/>
                <w:bCs/>
                <w:vertAlign w:val="superscript"/>
              </w:rPr>
              <w:t>1</w:t>
            </w:r>
          </w:p>
        </w:tc>
        <w:tc>
          <w:tcPr>
            <w:tcW w:w="6410" w:type="dxa"/>
            <w:gridSpan w:val="2"/>
            <w:shd w:val="clear" w:color="auto" w:fill="D9E2F3" w:themeFill="accent1" w:themeFillTint="33"/>
          </w:tcPr>
          <w:p w14:paraId="36C8CB38" w14:textId="4F3CA10D" w:rsidR="00A518BC" w:rsidRPr="00DF3112" w:rsidRDefault="00A518BC" w:rsidP="00A518BC">
            <w:r w:rsidRPr="00DF3112">
              <w:t>Number of wounds</w:t>
            </w:r>
          </w:p>
        </w:tc>
        <w:tc>
          <w:tcPr>
            <w:tcW w:w="1139" w:type="dxa"/>
          </w:tcPr>
          <w:p w14:paraId="1BB18E87" w14:textId="77777777" w:rsidR="00A518BC" w:rsidRPr="00DF3112" w:rsidRDefault="00A518BC" w:rsidP="00A518BC"/>
        </w:tc>
      </w:tr>
      <w:tr w:rsidR="00A518BC" w14:paraId="689897D6" w14:textId="3411F8FC" w:rsidTr="00A518BC">
        <w:tc>
          <w:tcPr>
            <w:tcW w:w="1807" w:type="dxa"/>
            <w:vMerge/>
            <w:shd w:val="clear" w:color="auto" w:fill="D9E2F3" w:themeFill="accent1" w:themeFillTint="33"/>
          </w:tcPr>
          <w:p w14:paraId="7F5C60A6" w14:textId="77777777" w:rsidR="00A518BC" w:rsidRPr="00E64493" w:rsidRDefault="00A518BC" w:rsidP="00A518BC">
            <w:pPr>
              <w:rPr>
                <w:b/>
                <w:bCs/>
              </w:rPr>
            </w:pPr>
          </w:p>
        </w:tc>
        <w:tc>
          <w:tcPr>
            <w:tcW w:w="6410" w:type="dxa"/>
            <w:gridSpan w:val="2"/>
            <w:shd w:val="clear" w:color="auto" w:fill="D9E2F3" w:themeFill="accent1" w:themeFillTint="33"/>
          </w:tcPr>
          <w:p w14:paraId="15F4BA37" w14:textId="162635D1" w:rsidR="00A518BC" w:rsidRPr="00DF3112" w:rsidRDefault="00A518BC" w:rsidP="00A518BC">
            <w:r w:rsidRPr="00DF3112">
              <w:t>Wound location</w:t>
            </w:r>
          </w:p>
        </w:tc>
        <w:tc>
          <w:tcPr>
            <w:tcW w:w="1139" w:type="dxa"/>
          </w:tcPr>
          <w:p w14:paraId="2213B82F" w14:textId="77777777" w:rsidR="00A518BC" w:rsidRPr="00DF3112" w:rsidRDefault="00A518BC" w:rsidP="00A518BC"/>
        </w:tc>
      </w:tr>
      <w:tr w:rsidR="00A518BC" w14:paraId="4AFFAF33" w14:textId="2EE37E6C" w:rsidTr="00A518BC">
        <w:tc>
          <w:tcPr>
            <w:tcW w:w="1807" w:type="dxa"/>
            <w:vMerge/>
            <w:shd w:val="clear" w:color="auto" w:fill="D9E2F3" w:themeFill="accent1" w:themeFillTint="33"/>
          </w:tcPr>
          <w:p w14:paraId="4B205EC6" w14:textId="77777777" w:rsidR="00A518BC" w:rsidRPr="00E64493" w:rsidRDefault="00A518BC" w:rsidP="00A518BC">
            <w:pPr>
              <w:rPr>
                <w:b/>
                <w:bCs/>
              </w:rPr>
            </w:pPr>
          </w:p>
        </w:tc>
        <w:tc>
          <w:tcPr>
            <w:tcW w:w="6410" w:type="dxa"/>
            <w:gridSpan w:val="2"/>
            <w:shd w:val="clear" w:color="auto" w:fill="D9E2F3" w:themeFill="accent1" w:themeFillTint="33"/>
          </w:tcPr>
          <w:p w14:paraId="33E09D4F" w14:textId="5ADE01D8" w:rsidR="00A518BC" w:rsidRPr="00DB2DAF" w:rsidRDefault="00A518BC" w:rsidP="00A518BC">
            <w:pPr>
              <w:rPr>
                <w:vertAlign w:val="superscript"/>
              </w:rPr>
            </w:pPr>
            <w:r w:rsidRPr="00DF3112">
              <w:t>Wound type/classification</w:t>
            </w:r>
            <w:r>
              <w:t xml:space="preserve"> </w:t>
            </w:r>
            <w:r w:rsidRPr="0011020F">
              <w:rPr>
                <w:vertAlign w:val="superscript"/>
              </w:rPr>
              <w:t>c</w:t>
            </w:r>
          </w:p>
        </w:tc>
        <w:tc>
          <w:tcPr>
            <w:tcW w:w="1139" w:type="dxa"/>
          </w:tcPr>
          <w:p w14:paraId="7CF715CA" w14:textId="77777777" w:rsidR="00A518BC" w:rsidRPr="00DF3112" w:rsidRDefault="00A518BC" w:rsidP="00A518BC"/>
        </w:tc>
      </w:tr>
      <w:tr w:rsidR="00A518BC" w14:paraId="370800AD" w14:textId="07B8DE8E" w:rsidTr="00A518BC">
        <w:tc>
          <w:tcPr>
            <w:tcW w:w="1807" w:type="dxa"/>
            <w:vMerge/>
            <w:shd w:val="clear" w:color="auto" w:fill="D9E2F3" w:themeFill="accent1" w:themeFillTint="33"/>
          </w:tcPr>
          <w:p w14:paraId="33BA6F51" w14:textId="77777777" w:rsidR="00A518BC" w:rsidRPr="00E64493" w:rsidRDefault="00A518BC" w:rsidP="00A518BC">
            <w:pPr>
              <w:rPr>
                <w:b/>
                <w:bCs/>
              </w:rPr>
            </w:pPr>
          </w:p>
        </w:tc>
        <w:tc>
          <w:tcPr>
            <w:tcW w:w="6410" w:type="dxa"/>
            <w:gridSpan w:val="2"/>
            <w:shd w:val="clear" w:color="auto" w:fill="D9E2F3" w:themeFill="accent1" w:themeFillTint="33"/>
          </w:tcPr>
          <w:p w14:paraId="124D3572" w14:textId="11F9A8B8" w:rsidR="00A518BC" w:rsidRPr="00C24A3E" w:rsidRDefault="00A518BC" w:rsidP="00A518BC">
            <w:pPr>
              <w:rPr>
                <w:vertAlign w:val="superscript"/>
              </w:rPr>
            </w:pPr>
            <w:r w:rsidRPr="00DF3112">
              <w:t>Wound duration</w:t>
            </w:r>
            <w:r>
              <w:t xml:space="preserve"> </w:t>
            </w:r>
            <w:r w:rsidRPr="0011020F">
              <w:rPr>
                <w:vertAlign w:val="superscript"/>
              </w:rPr>
              <w:t>d</w:t>
            </w:r>
          </w:p>
        </w:tc>
        <w:tc>
          <w:tcPr>
            <w:tcW w:w="1139" w:type="dxa"/>
          </w:tcPr>
          <w:p w14:paraId="1901812C" w14:textId="77777777" w:rsidR="00A518BC" w:rsidRPr="00DF3112" w:rsidRDefault="00A518BC" w:rsidP="00A518BC"/>
        </w:tc>
      </w:tr>
      <w:tr w:rsidR="00A518BC" w14:paraId="2184C805" w14:textId="31E63B44" w:rsidTr="00A518BC">
        <w:tc>
          <w:tcPr>
            <w:tcW w:w="1807" w:type="dxa"/>
            <w:vMerge/>
            <w:shd w:val="clear" w:color="auto" w:fill="D9E2F3" w:themeFill="accent1" w:themeFillTint="33"/>
          </w:tcPr>
          <w:p w14:paraId="61A2D60B" w14:textId="77777777" w:rsidR="00A518BC" w:rsidRPr="00E64493" w:rsidRDefault="00A518BC" w:rsidP="00A518BC">
            <w:pPr>
              <w:rPr>
                <w:b/>
                <w:bCs/>
              </w:rPr>
            </w:pPr>
          </w:p>
        </w:tc>
        <w:tc>
          <w:tcPr>
            <w:tcW w:w="6410" w:type="dxa"/>
            <w:gridSpan w:val="2"/>
            <w:shd w:val="clear" w:color="auto" w:fill="D9E2F3" w:themeFill="accent1" w:themeFillTint="33"/>
          </w:tcPr>
          <w:p w14:paraId="3EFA4062" w14:textId="38343C95" w:rsidR="00A518BC" w:rsidRPr="003E6D4A" w:rsidRDefault="00A518BC" w:rsidP="00A518BC">
            <w:pPr>
              <w:rPr>
                <w:vertAlign w:val="superscript"/>
              </w:rPr>
            </w:pPr>
            <w:r w:rsidRPr="00DF3112">
              <w:t>Treatment aim</w:t>
            </w:r>
            <w:r>
              <w:t xml:space="preserve"> </w:t>
            </w:r>
            <w:r w:rsidRPr="0011020F">
              <w:rPr>
                <w:vertAlign w:val="superscript"/>
              </w:rPr>
              <w:t>e</w:t>
            </w:r>
          </w:p>
        </w:tc>
        <w:tc>
          <w:tcPr>
            <w:tcW w:w="1139" w:type="dxa"/>
          </w:tcPr>
          <w:p w14:paraId="4BF02590" w14:textId="77777777" w:rsidR="00A518BC" w:rsidRPr="00DF3112" w:rsidRDefault="00A518BC" w:rsidP="00A518BC"/>
        </w:tc>
      </w:tr>
      <w:tr w:rsidR="00A518BC" w14:paraId="076E61D9" w14:textId="0A8BF875" w:rsidTr="00A518BC">
        <w:tc>
          <w:tcPr>
            <w:tcW w:w="1807" w:type="dxa"/>
            <w:vMerge/>
            <w:shd w:val="clear" w:color="auto" w:fill="D9E2F3" w:themeFill="accent1" w:themeFillTint="33"/>
          </w:tcPr>
          <w:p w14:paraId="06BA4261" w14:textId="77777777" w:rsidR="00A518BC" w:rsidRPr="00E64493" w:rsidRDefault="00A518BC" w:rsidP="00A518BC">
            <w:pPr>
              <w:rPr>
                <w:b/>
                <w:bCs/>
              </w:rPr>
            </w:pPr>
          </w:p>
        </w:tc>
        <w:tc>
          <w:tcPr>
            <w:tcW w:w="6410" w:type="dxa"/>
            <w:gridSpan w:val="2"/>
            <w:shd w:val="clear" w:color="auto" w:fill="D9E2F3" w:themeFill="accent1" w:themeFillTint="33"/>
          </w:tcPr>
          <w:p w14:paraId="3291336B" w14:textId="6D27CC8F" w:rsidR="00A518BC" w:rsidRPr="00F83B46" w:rsidRDefault="00A518BC" w:rsidP="00A518BC">
            <w:pPr>
              <w:rPr>
                <w:vertAlign w:val="superscript"/>
              </w:rPr>
            </w:pPr>
            <w:r w:rsidRPr="00A007C8">
              <w:t>Planned re-assessment date</w:t>
            </w:r>
            <w:r>
              <w:t xml:space="preserve"> </w:t>
            </w:r>
            <w:r w:rsidRPr="0011020F">
              <w:rPr>
                <w:vertAlign w:val="superscript"/>
              </w:rPr>
              <w:t>f</w:t>
            </w:r>
          </w:p>
        </w:tc>
        <w:tc>
          <w:tcPr>
            <w:tcW w:w="1139" w:type="dxa"/>
          </w:tcPr>
          <w:p w14:paraId="1BC06A92" w14:textId="77777777" w:rsidR="00A518BC" w:rsidRPr="00A007C8" w:rsidRDefault="00A518BC" w:rsidP="00A518BC"/>
        </w:tc>
      </w:tr>
      <w:tr w:rsidR="00A518BC" w14:paraId="2588BE52" w14:textId="1663C793" w:rsidTr="00A518BC">
        <w:tc>
          <w:tcPr>
            <w:tcW w:w="1807" w:type="dxa"/>
            <w:vMerge w:val="restart"/>
            <w:shd w:val="clear" w:color="auto" w:fill="D9E2F3" w:themeFill="accent1" w:themeFillTint="33"/>
          </w:tcPr>
          <w:p w14:paraId="028E8911" w14:textId="7B8A9DB8" w:rsidR="00A518BC" w:rsidRPr="00E64493" w:rsidRDefault="00A518BC" w:rsidP="00A518BC">
            <w:pPr>
              <w:rPr>
                <w:b/>
                <w:bCs/>
                <w:vertAlign w:val="superscript"/>
              </w:rPr>
            </w:pPr>
            <w:r w:rsidRPr="00E64493">
              <w:rPr>
                <w:b/>
                <w:bCs/>
              </w:rPr>
              <w:t>Wound Assessment Parameters</w:t>
            </w:r>
            <w:r w:rsidRPr="00E64493">
              <w:rPr>
                <w:b/>
                <w:bCs/>
                <w:vertAlign w:val="superscript"/>
              </w:rPr>
              <w:t>1</w:t>
            </w:r>
          </w:p>
        </w:tc>
        <w:tc>
          <w:tcPr>
            <w:tcW w:w="6410" w:type="dxa"/>
            <w:gridSpan w:val="2"/>
            <w:shd w:val="clear" w:color="auto" w:fill="D9E2F3" w:themeFill="accent1" w:themeFillTint="33"/>
          </w:tcPr>
          <w:p w14:paraId="312CFA3D" w14:textId="7C6607C9" w:rsidR="00A518BC" w:rsidRPr="00A007C8" w:rsidRDefault="00A518BC" w:rsidP="00A518BC">
            <w:r w:rsidRPr="0030761E">
              <w:t>Wound size (maximum length, width and depth)</w:t>
            </w:r>
          </w:p>
        </w:tc>
        <w:tc>
          <w:tcPr>
            <w:tcW w:w="1139" w:type="dxa"/>
          </w:tcPr>
          <w:p w14:paraId="09FD1519" w14:textId="77777777" w:rsidR="00A518BC" w:rsidRPr="0030761E" w:rsidRDefault="00A518BC" w:rsidP="00A518BC"/>
        </w:tc>
      </w:tr>
      <w:tr w:rsidR="00A518BC" w14:paraId="2A611D5E" w14:textId="59B80BB9" w:rsidTr="00A518BC">
        <w:tc>
          <w:tcPr>
            <w:tcW w:w="1807" w:type="dxa"/>
            <w:vMerge/>
            <w:shd w:val="clear" w:color="auto" w:fill="D9E2F3" w:themeFill="accent1" w:themeFillTint="33"/>
          </w:tcPr>
          <w:p w14:paraId="1870582F" w14:textId="77777777" w:rsidR="00A518BC" w:rsidRDefault="00A518BC" w:rsidP="00A518BC"/>
        </w:tc>
        <w:tc>
          <w:tcPr>
            <w:tcW w:w="6410" w:type="dxa"/>
            <w:gridSpan w:val="2"/>
            <w:shd w:val="clear" w:color="auto" w:fill="D9E2F3" w:themeFill="accent1" w:themeFillTint="33"/>
          </w:tcPr>
          <w:p w14:paraId="28F3C1DE" w14:textId="61BA0CBC" w:rsidR="00A518BC" w:rsidRPr="009022B3" w:rsidRDefault="00A518BC" w:rsidP="00A518BC">
            <w:bookmarkStart w:id="1" w:name="_Hlk25577062"/>
            <w:r w:rsidRPr="009022B3">
              <w:t xml:space="preserve">Undermining/tunnelling </w:t>
            </w:r>
            <w:bookmarkEnd w:id="1"/>
            <w:r w:rsidRPr="009022B3">
              <w:rPr>
                <w:vertAlign w:val="superscript"/>
              </w:rPr>
              <w:t>g</w:t>
            </w:r>
          </w:p>
        </w:tc>
        <w:tc>
          <w:tcPr>
            <w:tcW w:w="1139" w:type="dxa"/>
          </w:tcPr>
          <w:p w14:paraId="3E017251" w14:textId="77777777" w:rsidR="00A518BC" w:rsidRPr="009022B3" w:rsidRDefault="00A518BC" w:rsidP="00A518BC"/>
        </w:tc>
      </w:tr>
      <w:tr w:rsidR="00A518BC" w14:paraId="570E0913" w14:textId="06713A32" w:rsidTr="00A518BC">
        <w:tc>
          <w:tcPr>
            <w:tcW w:w="1807" w:type="dxa"/>
            <w:vMerge/>
            <w:shd w:val="clear" w:color="auto" w:fill="D9E2F3" w:themeFill="accent1" w:themeFillTint="33"/>
          </w:tcPr>
          <w:p w14:paraId="6D838013" w14:textId="77777777" w:rsidR="00A518BC" w:rsidRDefault="00A518BC" w:rsidP="00A518BC">
            <w:bookmarkStart w:id="2" w:name="_Hlk25320542"/>
          </w:p>
        </w:tc>
        <w:tc>
          <w:tcPr>
            <w:tcW w:w="6410" w:type="dxa"/>
            <w:gridSpan w:val="2"/>
            <w:shd w:val="clear" w:color="auto" w:fill="D9E2F3" w:themeFill="accent1" w:themeFillTint="33"/>
          </w:tcPr>
          <w:p w14:paraId="68D5398F" w14:textId="6918880A" w:rsidR="00A518BC" w:rsidRPr="009022B3" w:rsidRDefault="00A518BC" w:rsidP="00A518BC">
            <w:pPr>
              <w:rPr>
                <w:vertAlign w:val="superscript"/>
              </w:rPr>
            </w:pPr>
            <w:r w:rsidRPr="009022B3">
              <w:t>Category (pressure ulcers only)</w:t>
            </w:r>
            <w:r>
              <w:t xml:space="preserve"> </w:t>
            </w:r>
            <w:r w:rsidRPr="009022B3">
              <w:rPr>
                <w:vertAlign w:val="superscript"/>
              </w:rPr>
              <w:t>h</w:t>
            </w:r>
          </w:p>
        </w:tc>
        <w:tc>
          <w:tcPr>
            <w:tcW w:w="1139" w:type="dxa"/>
          </w:tcPr>
          <w:p w14:paraId="77BA8539" w14:textId="77777777" w:rsidR="00A518BC" w:rsidRPr="009022B3" w:rsidRDefault="00A518BC" w:rsidP="00A518BC"/>
        </w:tc>
      </w:tr>
      <w:bookmarkEnd w:id="2"/>
      <w:tr w:rsidR="00A518BC" w14:paraId="7C70C356" w14:textId="6050FB87" w:rsidTr="00A518BC">
        <w:tc>
          <w:tcPr>
            <w:tcW w:w="1807" w:type="dxa"/>
            <w:vMerge/>
            <w:shd w:val="clear" w:color="auto" w:fill="D9E2F3" w:themeFill="accent1" w:themeFillTint="33"/>
          </w:tcPr>
          <w:p w14:paraId="56BE1B87" w14:textId="77777777" w:rsidR="00A518BC" w:rsidRDefault="00A518BC" w:rsidP="00A518BC"/>
        </w:tc>
        <w:tc>
          <w:tcPr>
            <w:tcW w:w="6410" w:type="dxa"/>
            <w:gridSpan w:val="2"/>
            <w:shd w:val="clear" w:color="auto" w:fill="D9E2F3" w:themeFill="accent1" w:themeFillTint="33"/>
          </w:tcPr>
          <w:p w14:paraId="5632F869" w14:textId="2643E1C4" w:rsidR="00A518BC" w:rsidRPr="00A776A0" w:rsidRDefault="00A518BC" w:rsidP="00A518BC">
            <w:pPr>
              <w:rPr>
                <w:vertAlign w:val="superscript"/>
              </w:rPr>
            </w:pPr>
            <w:r w:rsidRPr="0047159C">
              <w:t>Wound bed tissue type</w:t>
            </w:r>
            <w:r>
              <w:t xml:space="preserve"> </w:t>
            </w:r>
            <w:r>
              <w:rPr>
                <w:vertAlign w:val="superscript"/>
              </w:rPr>
              <w:t>i</w:t>
            </w:r>
          </w:p>
        </w:tc>
        <w:tc>
          <w:tcPr>
            <w:tcW w:w="1139" w:type="dxa"/>
          </w:tcPr>
          <w:p w14:paraId="16671CB5" w14:textId="77777777" w:rsidR="00A518BC" w:rsidRPr="0047159C" w:rsidRDefault="00A518BC" w:rsidP="00A518BC"/>
        </w:tc>
      </w:tr>
      <w:tr w:rsidR="00A518BC" w14:paraId="51FD6B76" w14:textId="11B7F11B" w:rsidTr="00A518BC">
        <w:tc>
          <w:tcPr>
            <w:tcW w:w="1807" w:type="dxa"/>
            <w:vMerge/>
            <w:shd w:val="clear" w:color="auto" w:fill="D9E2F3" w:themeFill="accent1" w:themeFillTint="33"/>
          </w:tcPr>
          <w:p w14:paraId="7B073ABE" w14:textId="77777777" w:rsidR="00A518BC" w:rsidRDefault="00A518BC" w:rsidP="00A518BC"/>
        </w:tc>
        <w:tc>
          <w:tcPr>
            <w:tcW w:w="6410" w:type="dxa"/>
            <w:gridSpan w:val="2"/>
            <w:shd w:val="clear" w:color="auto" w:fill="D9E2F3" w:themeFill="accent1" w:themeFillTint="33"/>
          </w:tcPr>
          <w:p w14:paraId="5F657319" w14:textId="0DFC37F8" w:rsidR="00A518BC" w:rsidRPr="00BA4FA7" w:rsidRDefault="00A518BC" w:rsidP="00A518BC">
            <w:pPr>
              <w:rPr>
                <w:vertAlign w:val="superscript"/>
              </w:rPr>
            </w:pPr>
            <w:bookmarkStart w:id="3" w:name="_Hlk25320851"/>
            <w:r w:rsidRPr="0047159C">
              <w:t>Wound bed tissue amount</w:t>
            </w:r>
            <w:bookmarkEnd w:id="3"/>
            <w:r>
              <w:t xml:space="preserve"> </w:t>
            </w:r>
            <w:r w:rsidRPr="00A776A0">
              <w:rPr>
                <w:vertAlign w:val="superscript"/>
              </w:rPr>
              <w:t>j</w:t>
            </w:r>
          </w:p>
        </w:tc>
        <w:tc>
          <w:tcPr>
            <w:tcW w:w="1139" w:type="dxa"/>
          </w:tcPr>
          <w:p w14:paraId="7BA2F60F" w14:textId="77777777" w:rsidR="00A518BC" w:rsidRPr="0047159C" w:rsidRDefault="00A518BC" w:rsidP="00A518BC"/>
        </w:tc>
      </w:tr>
      <w:tr w:rsidR="00A518BC" w14:paraId="2BDEE3D7" w14:textId="74392329" w:rsidTr="00A518BC">
        <w:tc>
          <w:tcPr>
            <w:tcW w:w="1807" w:type="dxa"/>
            <w:vMerge/>
            <w:shd w:val="clear" w:color="auto" w:fill="D9E2F3" w:themeFill="accent1" w:themeFillTint="33"/>
          </w:tcPr>
          <w:p w14:paraId="2EF9AB2F" w14:textId="77777777" w:rsidR="00A518BC" w:rsidRDefault="00A518BC" w:rsidP="00A518BC"/>
        </w:tc>
        <w:tc>
          <w:tcPr>
            <w:tcW w:w="6410" w:type="dxa"/>
            <w:gridSpan w:val="2"/>
            <w:shd w:val="clear" w:color="auto" w:fill="D9E2F3" w:themeFill="accent1" w:themeFillTint="33"/>
          </w:tcPr>
          <w:p w14:paraId="3B28EB7D" w14:textId="5EBCE124" w:rsidR="00A518BC" w:rsidRPr="00E45829" w:rsidRDefault="00A518BC" w:rsidP="00A518BC">
            <w:pPr>
              <w:rPr>
                <w:vertAlign w:val="superscript"/>
              </w:rPr>
            </w:pPr>
            <w:bookmarkStart w:id="4" w:name="_Hlk25320943"/>
            <w:r w:rsidRPr="0047159C">
              <w:t>Description of wound margins/edge</w:t>
            </w:r>
            <w:bookmarkEnd w:id="4"/>
            <w:r w:rsidRPr="0047159C">
              <w:t>s</w:t>
            </w:r>
            <w:r>
              <w:t xml:space="preserve"> </w:t>
            </w:r>
            <w:r w:rsidRPr="00A776A0">
              <w:rPr>
                <w:vertAlign w:val="superscript"/>
              </w:rPr>
              <w:t>k</w:t>
            </w:r>
          </w:p>
        </w:tc>
        <w:tc>
          <w:tcPr>
            <w:tcW w:w="1139" w:type="dxa"/>
          </w:tcPr>
          <w:p w14:paraId="21193024" w14:textId="77777777" w:rsidR="00A518BC" w:rsidRPr="0047159C" w:rsidRDefault="00A518BC" w:rsidP="00A518BC"/>
        </w:tc>
      </w:tr>
      <w:tr w:rsidR="00A518BC" w14:paraId="161009B7" w14:textId="528D3B8E" w:rsidTr="00A518BC">
        <w:tc>
          <w:tcPr>
            <w:tcW w:w="1807" w:type="dxa"/>
            <w:vMerge/>
            <w:shd w:val="clear" w:color="auto" w:fill="D9E2F3" w:themeFill="accent1" w:themeFillTint="33"/>
          </w:tcPr>
          <w:p w14:paraId="4A5FD883" w14:textId="77777777" w:rsidR="00A518BC" w:rsidRDefault="00A518BC" w:rsidP="00A518BC"/>
        </w:tc>
        <w:tc>
          <w:tcPr>
            <w:tcW w:w="6410" w:type="dxa"/>
            <w:gridSpan w:val="2"/>
            <w:shd w:val="clear" w:color="auto" w:fill="D9E2F3" w:themeFill="accent1" w:themeFillTint="33"/>
          </w:tcPr>
          <w:p w14:paraId="5A01E737" w14:textId="0F15FCE5" w:rsidR="00A518BC" w:rsidRPr="00E16078" w:rsidRDefault="00A518BC" w:rsidP="00A518BC">
            <w:pPr>
              <w:rPr>
                <w:vertAlign w:val="superscript"/>
              </w:rPr>
            </w:pPr>
            <w:bookmarkStart w:id="5" w:name="_Hlk25321009"/>
            <w:r w:rsidRPr="0047159C">
              <w:t>Colour and condition of surrounding skin</w:t>
            </w:r>
            <w:bookmarkEnd w:id="5"/>
            <w:r>
              <w:t xml:space="preserve"> </w:t>
            </w:r>
            <w:r w:rsidRPr="00A776A0">
              <w:rPr>
                <w:vertAlign w:val="superscript"/>
              </w:rPr>
              <w:t>l</w:t>
            </w:r>
          </w:p>
        </w:tc>
        <w:tc>
          <w:tcPr>
            <w:tcW w:w="1139" w:type="dxa"/>
          </w:tcPr>
          <w:p w14:paraId="098372D5" w14:textId="77777777" w:rsidR="00A518BC" w:rsidRPr="0047159C" w:rsidRDefault="00A518BC" w:rsidP="00A518BC"/>
        </w:tc>
      </w:tr>
      <w:tr w:rsidR="00A518BC" w14:paraId="6C9A630A" w14:textId="20C4A3D1" w:rsidTr="00A518BC">
        <w:tc>
          <w:tcPr>
            <w:tcW w:w="1807" w:type="dxa"/>
            <w:vMerge/>
            <w:shd w:val="clear" w:color="auto" w:fill="D9E2F3" w:themeFill="accent1" w:themeFillTint="33"/>
          </w:tcPr>
          <w:p w14:paraId="7D888CA6" w14:textId="77777777" w:rsidR="00A518BC" w:rsidRDefault="00A518BC" w:rsidP="00A518BC"/>
        </w:tc>
        <w:tc>
          <w:tcPr>
            <w:tcW w:w="6410" w:type="dxa"/>
            <w:gridSpan w:val="2"/>
            <w:shd w:val="clear" w:color="auto" w:fill="D9E2F3" w:themeFill="accent1" w:themeFillTint="33"/>
          </w:tcPr>
          <w:p w14:paraId="7A88C92B" w14:textId="5993965C" w:rsidR="00A518BC" w:rsidRPr="0047159C" w:rsidRDefault="00A518BC" w:rsidP="00A518BC">
            <w:bookmarkStart w:id="6" w:name="_Hlk25321295"/>
            <w:r w:rsidRPr="004A2B8E">
              <w:t>Whether the wound has healed</w:t>
            </w:r>
            <w:bookmarkEnd w:id="6"/>
            <w:r>
              <w:t xml:space="preserve"> </w:t>
            </w:r>
            <w:r w:rsidRPr="00A776A0">
              <w:rPr>
                <w:vertAlign w:val="superscript"/>
              </w:rPr>
              <w:t>m</w:t>
            </w:r>
          </w:p>
        </w:tc>
        <w:tc>
          <w:tcPr>
            <w:tcW w:w="1139" w:type="dxa"/>
          </w:tcPr>
          <w:p w14:paraId="2DA54F2B" w14:textId="77777777" w:rsidR="00A518BC" w:rsidRPr="004A2B8E" w:rsidRDefault="00A518BC" w:rsidP="00A518BC"/>
        </w:tc>
      </w:tr>
      <w:tr w:rsidR="00A518BC" w14:paraId="7DC6F5D2" w14:textId="08EBD210" w:rsidTr="00A518BC">
        <w:tc>
          <w:tcPr>
            <w:tcW w:w="1807" w:type="dxa"/>
            <w:vMerge w:val="restart"/>
            <w:shd w:val="clear" w:color="auto" w:fill="D9E2F3" w:themeFill="accent1" w:themeFillTint="33"/>
          </w:tcPr>
          <w:p w14:paraId="202BCC10" w14:textId="34B8509D" w:rsidR="00A518BC" w:rsidRPr="00E64493" w:rsidRDefault="00A518BC" w:rsidP="00A518BC">
            <w:pPr>
              <w:rPr>
                <w:b/>
                <w:bCs/>
                <w:vertAlign w:val="superscript"/>
              </w:rPr>
            </w:pPr>
            <w:r w:rsidRPr="00E64493">
              <w:rPr>
                <w:b/>
                <w:bCs/>
              </w:rPr>
              <w:t>Wound Symptoms</w:t>
            </w:r>
            <w:r w:rsidRPr="00E64493">
              <w:rPr>
                <w:b/>
                <w:bCs/>
                <w:vertAlign w:val="superscript"/>
              </w:rPr>
              <w:t>1,2</w:t>
            </w:r>
          </w:p>
        </w:tc>
        <w:tc>
          <w:tcPr>
            <w:tcW w:w="6410" w:type="dxa"/>
            <w:gridSpan w:val="2"/>
            <w:shd w:val="clear" w:color="auto" w:fill="D9E2F3" w:themeFill="accent1" w:themeFillTint="33"/>
          </w:tcPr>
          <w:p w14:paraId="4B405342" w14:textId="1FFBD1D4" w:rsidR="00A518BC" w:rsidRPr="003A7BB9" w:rsidRDefault="00A518BC" w:rsidP="00A518BC">
            <w:pPr>
              <w:rPr>
                <w:vertAlign w:val="superscript"/>
              </w:rPr>
            </w:pPr>
            <w:bookmarkStart w:id="7" w:name="_Hlk25321378"/>
            <w:r w:rsidRPr="004A2B8E">
              <w:t>Presence of wound pain</w:t>
            </w:r>
            <w:bookmarkEnd w:id="7"/>
            <w:r>
              <w:t xml:space="preserve"> </w:t>
            </w:r>
            <w:r w:rsidRPr="00A776A0">
              <w:rPr>
                <w:vertAlign w:val="superscript"/>
              </w:rPr>
              <w:t>n</w:t>
            </w:r>
          </w:p>
        </w:tc>
        <w:tc>
          <w:tcPr>
            <w:tcW w:w="1139" w:type="dxa"/>
          </w:tcPr>
          <w:p w14:paraId="1F867BE1" w14:textId="77777777" w:rsidR="00A518BC" w:rsidRPr="004A2B8E" w:rsidRDefault="00A518BC" w:rsidP="00A518BC"/>
        </w:tc>
      </w:tr>
      <w:tr w:rsidR="00A518BC" w14:paraId="7CF1D8C4" w14:textId="79925BFD" w:rsidTr="00A518BC">
        <w:tc>
          <w:tcPr>
            <w:tcW w:w="1807" w:type="dxa"/>
            <w:vMerge/>
            <w:shd w:val="clear" w:color="auto" w:fill="D9E2F3" w:themeFill="accent1" w:themeFillTint="33"/>
          </w:tcPr>
          <w:p w14:paraId="1ACA0C2D" w14:textId="77777777" w:rsidR="00A518BC" w:rsidRDefault="00A518BC" w:rsidP="00A518BC"/>
        </w:tc>
        <w:tc>
          <w:tcPr>
            <w:tcW w:w="6410" w:type="dxa"/>
            <w:gridSpan w:val="2"/>
            <w:shd w:val="clear" w:color="auto" w:fill="D9E2F3" w:themeFill="accent1" w:themeFillTint="33"/>
          </w:tcPr>
          <w:p w14:paraId="5441D76A" w14:textId="7C1030EF" w:rsidR="00A518BC" w:rsidRPr="0047159C" w:rsidRDefault="00A518BC" w:rsidP="00A518BC">
            <w:r w:rsidRPr="004A2B8E">
              <w:t>Wound pain frequency</w:t>
            </w:r>
          </w:p>
        </w:tc>
        <w:tc>
          <w:tcPr>
            <w:tcW w:w="1139" w:type="dxa"/>
          </w:tcPr>
          <w:p w14:paraId="3152B273" w14:textId="77777777" w:rsidR="00A518BC" w:rsidRPr="004A2B8E" w:rsidRDefault="00A518BC" w:rsidP="00A518BC"/>
        </w:tc>
      </w:tr>
      <w:tr w:rsidR="00A518BC" w14:paraId="4045433D" w14:textId="6E3723CE" w:rsidTr="00A518BC">
        <w:tc>
          <w:tcPr>
            <w:tcW w:w="1807" w:type="dxa"/>
            <w:vMerge/>
            <w:shd w:val="clear" w:color="auto" w:fill="D9E2F3" w:themeFill="accent1" w:themeFillTint="33"/>
          </w:tcPr>
          <w:p w14:paraId="2BD624B4" w14:textId="77777777" w:rsidR="00A518BC" w:rsidRDefault="00A518BC" w:rsidP="00A518BC"/>
        </w:tc>
        <w:tc>
          <w:tcPr>
            <w:tcW w:w="6410" w:type="dxa"/>
            <w:gridSpan w:val="2"/>
            <w:shd w:val="clear" w:color="auto" w:fill="D9E2F3" w:themeFill="accent1" w:themeFillTint="33"/>
          </w:tcPr>
          <w:p w14:paraId="514ADE76" w14:textId="1AAD765A" w:rsidR="00A518BC" w:rsidRPr="0047159C" w:rsidRDefault="00A518BC" w:rsidP="00A518BC">
            <w:r w:rsidRPr="004A2B8E">
              <w:t>Exudate amount</w:t>
            </w:r>
            <w:r>
              <w:t xml:space="preserve"> </w:t>
            </w:r>
            <w:r w:rsidRPr="00A776A0">
              <w:rPr>
                <w:vertAlign w:val="superscript"/>
              </w:rPr>
              <w:t>o</w:t>
            </w:r>
          </w:p>
        </w:tc>
        <w:tc>
          <w:tcPr>
            <w:tcW w:w="1139" w:type="dxa"/>
          </w:tcPr>
          <w:p w14:paraId="004310B0" w14:textId="77777777" w:rsidR="00A518BC" w:rsidRPr="004A2B8E" w:rsidRDefault="00A518BC" w:rsidP="00A518BC"/>
        </w:tc>
      </w:tr>
      <w:tr w:rsidR="00A518BC" w14:paraId="61B8E4AB" w14:textId="54B8F7BA" w:rsidTr="00A518BC">
        <w:tc>
          <w:tcPr>
            <w:tcW w:w="1807" w:type="dxa"/>
            <w:vMerge/>
            <w:shd w:val="clear" w:color="auto" w:fill="D9E2F3" w:themeFill="accent1" w:themeFillTint="33"/>
          </w:tcPr>
          <w:p w14:paraId="4FDC7A71" w14:textId="77777777" w:rsidR="00A518BC" w:rsidRDefault="00A518BC" w:rsidP="00A518BC"/>
        </w:tc>
        <w:tc>
          <w:tcPr>
            <w:tcW w:w="6410" w:type="dxa"/>
            <w:gridSpan w:val="2"/>
            <w:shd w:val="clear" w:color="auto" w:fill="D9E2F3" w:themeFill="accent1" w:themeFillTint="33"/>
          </w:tcPr>
          <w:p w14:paraId="58522095" w14:textId="16D6531C" w:rsidR="00A518BC" w:rsidRPr="004A2B8E" w:rsidRDefault="00A518BC" w:rsidP="00A518BC">
            <w:r w:rsidRPr="004A2B8E">
              <w:t>Exudate consistency/type/colour</w:t>
            </w:r>
          </w:p>
        </w:tc>
        <w:tc>
          <w:tcPr>
            <w:tcW w:w="1139" w:type="dxa"/>
          </w:tcPr>
          <w:p w14:paraId="6D5302C6" w14:textId="77777777" w:rsidR="00A518BC" w:rsidRPr="004A2B8E" w:rsidRDefault="00A518BC" w:rsidP="00A518BC"/>
        </w:tc>
      </w:tr>
      <w:tr w:rsidR="00A518BC" w14:paraId="64E34D0C" w14:textId="64E3A46C" w:rsidTr="00A518BC">
        <w:tc>
          <w:tcPr>
            <w:tcW w:w="1807" w:type="dxa"/>
            <w:vMerge/>
            <w:shd w:val="clear" w:color="auto" w:fill="D9E2F3" w:themeFill="accent1" w:themeFillTint="33"/>
          </w:tcPr>
          <w:p w14:paraId="545115ED" w14:textId="77777777" w:rsidR="00A518BC" w:rsidRDefault="00A518BC" w:rsidP="00A518BC"/>
        </w:tc>
        <w:tc>
          <w:tcPr>
            <w:tcW w:w="6410" w:type="dxa"/>
            <w:gridSpan w:val="2"/>
            <w:shd w:val="clear" w:color="auto" w:fill="D9E2F3" w:themeFill="accent1" w:themeFillTint="33"/>
          </w:tcPr>
          <w:p w14:paraId="45C2FFFC" w14:textId="616E4794" w:rsidR="00A518BC" w:rsidRPr="00B20E73" w:rsidRDefault="00A518BC" w:rsidP="00A518BC">
            <w:pPr>
              <w:rPr>
                <w:vertAlign w:val="superscript"/>
              </w:rPr>
            </w:pPr>
            <w:r w:rsidRPr="004A2B8E">
              <w:t>Odour occurrence</w:t>
            </w:r>
            <w:r>
              <w:t xml:space="preserve"> </w:t>
            </w:r>
            <w:r w:rsidRPr="00A776A0">
              <w:rPr>
                <w:vertAlign w:val="superscript"/>
              </w:rPr>
              <w:t>p</w:t>
            </w:r>
          </w:p>
        </w:tc>
        <w:tc>
          <w:tcPr>
            <w:tcW w:w="1139" w:type="dxa"/>
          </w:tcPr>
          <w:p w14:paraId="6831C12B" w14:textId="77777777" w:rsidR="00A518BC" w:rsidRPr="004A2B8E" w:rsidRDefault="00A518BC" w:rsidP="00A518BC"/>
        </w:tc>
      </w:tr>
      <w:tr w:rsidR="00A518BC" w14:paraId="68361C00" w14:textId="686280D2" w:rsidTr="00A518BC">
        <w:tc>
          <w:tcPr>
            <w:tcW w:w="1807" w:type="dxa"/>
            <w:vMerge/>
            <w:shd w:val="clear" w:color="auto" w:fill="D9E2F3" w:themeFill="accent1" w:themeFillTint="33"/>
          </w:tcPr>
          <w:p w14:paraId="38301FD6" w14:textId="77777777" w:rsidR="00A518BC" w:rsidRDefault="00A518BC" w:rsidP="00A518BC"/>
        </w:tc>
        <w:tc>
          <w:tcPr>
            <w:tcW w:w="6410" w:type="dxa"/>
            <w:gridSpan w:val="2"/>
            <w:shd w:val="clear" w:color="auto" w:fill="D9E2F3" w:themeFill="accent1" w:themeFillTint="33"/>
          </w:tcPr>
          <w:p w14:paraId="29421BED" w14:textId="4FBB59BB" w:rsidR="00A518BC" w:rsidRPr="00B20E73" w:rsidRDefault="00A518BC" w:rsidP="00A518BC">
            <w:pPr>
              <w:rPr>
                <w:vertAlign w:val="superscript"/>
              </w:rPr>
            </w:pPr>
            <w:r w:rsidRPr="004A2B8E">
              <w:t>Signs of systemic infection</w:t>
            </w:r>
            <w:r>
              <w:t xml:space="preserve"> </w:t>
            </w:r>
            <w:r w:rsidRPr="00A776A0">
              <w:rPr>
                <w:vertAlign w:val="superscript"/>
              </w:rPr>
              <w:t>q</w:t>
            </w:r>
          </w:p>
        </w:tc>
        <w:tc>
          <w:tcPr>
            <w:tcW w:w="1139" w:type="dxa"/>
          </w:tcPr>
          <w:p w14:paraId="5A234DC4" w14:textId="77777777" w:rsidR="00A518BC" w:rsidRPr="004A2B8E" w:rsidRDefault="00A518BC" w:rsidP="00A518BC"/>
        </w:tc>
      </w:tr>
      <w:tr w:rsidR="00A518BC" w14:paraId="2E9BEB28" w14:textId="3E8C925F" w:rsidTr="00A518BC">
        <w:tc>
          <w:tcPr>
            <w:tcW w:w="1807" w:type="dxa"/>
            <w:vMerge/>
            <w:shd w:val="clear" w:color="auto" w:fill="D9E2F3" w:themeFill="accent1" w:themeFillTint="33"/>
          </w:tcPr>
          <w:p w14:paraId="3567382A" w14:textId="77777777" w:rsidR="00A518BC" w:rsidRDefault="00A518BC" w:rsidP="00A518BC"/>
        </w:tc>
        <w:tc>
          <w:tcPr>
            <w:tcW w:w="6410" w:type="dxa"/>
            <w:gridSpan w:val="2"/>
            <w:shd w:val="clear" w:color="auto" w:fill="D9E2F3" w:themeFill="accent1" w:themeFillTint="33"/>
          </w:tcPr>
          <w:p w14:paraId="53E26079" w14:textId="55C70944" w:rsidR="00A518BC" w:rsidRPr="00A776A0" w:rsidRDefault="00A518BC" w:rsidP="00A518BC">
            <w:pPr>
              <w:rPr>
                <w:vertAlign w:val="superscript"/>
              </w:rPr>
            </w:pPr>
            <w:r w:rsidRPr="004A2B8E">
              <w:t>Signs of local wound infection</w:t>
            </w:r>
            <w:r>
              <w:t xml:space="preserve"> </w:t>
            </w:r>
            <w:r>
              <w:rPr>
                <w:vertAlign w:val="superscript"/>
              </w:rPr>
              <w:t>r</w:t>
            </w:r>
          </w:p>
        </w:tc>
        <w:tc>
          <w:tcPr>
            <w:tcW w:w="1139" w:type="dxa"/>
          </w:tcPr>
          <w:p w14:paraId="0ABE4FE2" w14:textId="77777777" w:rsidR="00A518BC" w:rsidRPr="004A2B8E" w:rsidRDefault="00A518BC" w:rsidP="00A518BC"/>
        </w:tc>
      </w:tr>
      <w:tr w:rsidR="00A518BC" w14:paraId="6DEAAEA9" w14:textId="4D383907" w:rsidTr="00A518BC">
        <w:tc>
          <w:tcPr>
            <w:tcW w:w="1807" w:type="dxa"/>
            <w:vMerge/>
            <w:shd w:val="clear" w:color="auto" w:fill="D9E2F3" w:themeFill="accent1" w:themeFillTint="33"/>
          </w:tcPr>
          <w:p w14:paraId="00BCCC14" w14:textId="77777777" w:rsidR="00A518BC" w:rsidRDefault="00A518BC" w:rsidP="00A518BC"/>
        </w:tc>
        <w:tc>
          <w:tcPr>
            <w:tcW w:w="6410" w:type="dxa"/>
            <w:gridSpan w:val="2"/>
            <w:shd w:val="clear" w:color="auto" w:fill="D9E2F3" w:themeFill="accent1" w:themeFillTint="33"/>
          </w:tcPr>
          <w:p w14:paraId="65EDC6A6" w14:textId="1C111107" w:rsidR="00A518BC" w:rsidRPr="00872726" w:rsidRDefault="00A518BC" w:rsidP="00A518BC">
            <w:pPr>
              <w:rPr>
                <w:vertAlign w:val="superscript"/>
              </w:rPr>
            </w:pPr>
            <w:r w:rsidRPr="004A2B8E">
              <w:t>Whether a wound swab has been taken</w:t>
            </w:r>
            <w:r>
              <w:t xml:space="preserve"> </w:t>
            </w:r>
            <w:r w:rsidRPr="00A776A0">
              <w:rPr>
                <w:vertAlign w:val="superscript"/>
              </w:rPr>
              <w:t>s</w:t>
            </w:r>
          </w:p>
        </w:tc>
        <w:tc>
          <w:tcPr>
            <w:tcW w:w="1139" w:type="dxa"/>
          </w:tcPr>
          <w:p w14:paraId="43336BE1" w14:textId="77777777" w:rsidR="00A518BC" w:rsidRPr="004A2B8E" w:rsidRDefault="00A518BC" w:rsidP="00A518BC"/>
        </w:tc>
      </w:tr>
      <w:tr w:rsidR="00A518BC" w14:paraId="43BA6188" w14:textId="2B09DED1" w:rsidTr="00A518BC">
        <w:tc>
          <w:tcPr>
            <w:tcW w:w="1807" w:type="dxa"/>
            <w:vMerge w:val="restart"/>
            <w:shd w:val="clear" w:color="auto" w:fill="D9E2F3" w:themeFill="accent1" w:themeFillTint="33"/>
          </w:tcPr>
          <w:p w14:paraId="08F53ACD" w14:textId="1DF96EC7" w:rsidR="00A518BC" w:rsidRPr="00E64493" w:rsidRDefault="00A518BC" w:rsidP="00A518BC">
            <w:pPr>
              <w:rPr>
                <w:b/>
                <w:bCs/>
                <w:vertAlign w:val="superscript"/>
              </w:rPr>
            </w:pPr>
            <w:r w:rsidRPr="00E64493">
              <w:rPr>
                <w:b/>
                <w:bCs/>
              </w:rPr>
              <w:t>Lower limb specific</w:t>
            </w:r>
            <w:r w:rsidRPr="00E64493">
              <w:rPr>
                <w:b/>
                <w:bCs/>
                <w:vertAlign w:val="superscript"/>
              </w:rPr>
              <w:t>2</w:t>
            </w:r>
          </w:p>
        </w:tc>
        <w:tc>
          <w:tcPr>
            <w:tcW w:w="6410" w:type="dxa"/>
            <w:gridSpan w:val="2"/>
            <w:shd w:val="clear" w:color="auto" w:fill="D9E2F3" w:themeFill="accent1" w:themeFillTint="33"/>
          </w:tcPr>
          <w:p w14:paraId="42DD6D64" w14:textId="1B9AC8AB" w:rsidR="00A518BC" w:rsidRPr="004A2B8E" w:rsidRDefault="00A518BC" w:rsidP="00A518BC">
            <w:r w:rsidRPr="00872726">
              <w:t>Signs of venous disease</w:t>
            </w:r>
            <w:r>
              <w:t xml:space="preserve"> </w:t>
            </w:r>
            <w:r w:rsidRPr="00A776A0">
              <w:rPr>
                <w:vertAlign w:val="superscript"/>
              </w:rPr>
              <w:t>t</w:t>
            </w:r>
          </w:p>
        </w:tc>
        <w:tc>
          <w:tcPr>
            <w:tcW w:w="1139" w:type="dxa"/>
          </w:tcPr>
          <w:p w14:paraId="749DFC2A" w14:textId="77777777" w:rsidR="00A518BC" w:rsidRPr="00872726" w:rsidRDefault="00A518BC" w:rsidP="00A518BC"/>
        </w:tc>
      </w:tr>
      <w:tr w:rsidR="00A518BC" w14:paraId="00A24727" w14:textId="3B492B64" w:rsidTr="00A518BC">
        <w:tc>
          <w:tcPr>
            <w:tcW w:w="1807" w:type="dxa"/>
            <w:vMerge/>
            <w:shd w:val="clear" w:color="auto" w:fill="D9E2F3" w:themeFill="accent1" w:themeFillTint="33"/>
          </w:tcPr>
          <w:p w14:paraId="0D58B4DB" w14:textId="77777777" w:rsidR="00A518BC" w:rsidRDefault="00A518BC" w:rsidP="00A518BC"/>
        </w:tc>
        <w:tc>
          <w:tcPr>
            <w:tcW w:w="6410" w:type="dxa"/>
            <w:gridSpan w:val="2"/>
            <w:shd w:val="clear" w:color="auto" w:fill="D9E2F3" w:themeFill="accent1" w:themeFillTint="33"/>
          </w:tcPr>
          <w:p w14:paraId="1F1EEE22" w14:textId="55D32B28" w:rsidR="00A518BC" w:rsidRDefault="00A518BC" w:rsidP="00A518BC">
            <w:r w:rsidRPr="00872726">
              <w:t>Lower limb oedema (including ankle circumference)</w:t>
            </w:r>
            <w:r w:rsidRPr="00A776A0">
              <w:rPr>
                <w:vertAlign w:val="superscript"/>
              </w:rPr>
              <w:t xml:space="preserve"> u</w:t>
            </w:r>
          </w:p>
        </w:tc>
        <w:tc>
          <w:tcPr>
            <w:tcW w:w="1139" w:type="dxa"/>
          </w:tcPr>
          <w:p w14:paraId="053FBCDB" w14:textId="77777777" w:rsidR="00A518BC" w:rsidRPr="00872726" w:rsidRDefault="00A518BC" w:rsidP="00A518BC"/>
        </w:tc>
      </w:tr>
      <w:tr w:rsidR="00A518BC" w14:paraId="381906EE" w14:textId="39F98D48" w:rsidTr="00A518BC">
        <w:tc>
          <w:tcPr>
            <w:tcW w:w="1807" w:type="dxa"/>
            <w:vMerge/>
            <w:shd w:val="clear" w:color="auto" w:fill="D9E2F3" w:themeFill="accent1" w:themeFillTint="33"/>
          </w:tcPr>
          <w:p w14:paraId="49F685B5" w14:textId="77777777" w:rsidR="00A518BC" w:rsidRDefault="00A518BC" w:rsidP="00A518BC"/>
        </w:tc>
        <w:tc>
          <w:tcPr>
            <w:tcW w:w="6410" w:type="dxa"/>
            <w:gridSpan w:val="2"/>
            <w:shd w:val="clear" w:color="auto" w:fill="D9E2F3" w:themeFill="accent1" w:themeFillTint="33"/>
          </w:tcPr>
          <w:p w14:paraId="11745CCE" w14:textId="0532ADD3" w:rsidR="00A518BC" w:rsidRPr="00872726" w:rsidRDefault="00A518BC" w:rsidP="00A518BC">
            <w:r>
              <w:t>Joint mobility</w:t>
            </w:r>
            <w:r w:rsidRPr="00A776A0">
              <w:rPr>
                <w:vertAlign w:val="superscript"/>
              </w:rPr>
              <w:t>v</w:t>
            </w:r>
          </w:p>
        </w:tc>
        <w:tc>
          <w:tcPr>
            <w:tcW w:w="1139" w:type="dxa"/>
          </w:tcPr>
          <w:p w14:paraId="2F0382BC" w14:textId="77777777" w:rsidR="00A518BC" w:rsidRDefault="00A518BC" w:rsidP="00A518BC"/>
        </w:tc>
      </w:tr>
      <w:tr w:rsidR="00A518BC" w14:paraId="46F871B7" w14:textId="683254B9" w:rsidTr="00A518BC">
        <w:tc>
          <w:tcPr>
            <w:tcW w:w="1807" w:type="dxa"/>
            <w:vMerge/>
            <w:tcBorders>
              <w:bottom w:val="single" w:sz="4" w:space="0" w:color="auto"/>
            </w:tcBorders>
            <w:shd w:val="clear" w:color="auto" w:fill="D9E2F3" w:themeFill="accent1" w:themeFillTint="33"/>
          </w:tcPr>
          <w:p w14:paraId="1CD0B1A5" w14:textId="77777777" w:rsidR="00A518BC" w:rsidRDefault="00A518BC" w:rsidP="00A518BC"/>
        </w:tc>
        <w:tc>
          <w:tcPr>
            <w:tcW w:w="6410" w:type="dxa"/>
            <w:gridSpan w:val="2"/>
            <w:tcBorders>
              <w:bottom w:val="single" w:sz="4" w:space="0" w:color="auto"/>
            </w:tcBorders>
            <w:shd w:val="clear" w:color="auto" w:fill="D9E2F3" w:themeFill="accent1" w:themeFillTint="33"/>
          </w:tcPr>
          <w:p w14:paraId="0D3BB76C" w14:textId="212B77AC" w:rsidR="00A518BC" w:rsidRPr="00B9157A" w:rsidRDefault="00A518BC" w:rsidP="00A518BC">
            <w:pPr>
              <w:rPr>
                <w:i/>
                <w:iCs/>
              </w:rPr>
            </w:pPr>
            <w:r>
              <w:t xml:space="preserve">Assessment of arterial supply </w:t>
            </w:r>
            <w:r w:rsidRPr="00A776A0">
              <w:rPr>
                <w:vertAlign w:val="superscript"/>
              </w:rPr>
              <w:t>w</w:t>
            </w:r>
          </w:p>
        </w:tc>
        <w:tc>
          <w:tcPr>
            <w:tcW w:w="1139" w:type="dxa"/>
          </w:tcPr>
          <w:p w14:paraId="0B0079C6" w14:textId="77777777" w:rsidR="00A518BC" w:rsidRDefault="00A518BC" w:rsidP="00A518BC"/>
        </w:tc>
      </w:tr>
      <w:tr w:rsidR="00A518BC" w14:paraId="4F14A120" w14:textId="77777777" w:rsidTr="00A518BC">
        <w:tc>
          <w:tcPr>
            <w:tcW w:w="8217" w:type="dxa"/>
            <w:gridSpan w:val="3"/>
            <w:tcBorders>
              <w:bottom w:val="single" w:sz="4" w:space="0" w:color="auto"/>
            </w:tcBorders>
            <w:shd w:val="clear" w:color="auto" w:fill="D9E2F3" w:themeFill="accent1" w:themeFillTint="33"/>
          </w:tcPr>
          <w:p w14:paraId="483359FB" w14:textId="4E03E40C" w:rsidR="00A518BC" w:rsidRDefault="00A518BC" w:rsidP="00A518BC">
            <w:r w:rsidRPr="00A518BC">
              <w:rPr>
                <w:b/>
                <w:bCs/>
              </w:rPr>
              <w:t>CQUIN CCG1</w:t>
            </w:r>
            <w:r w:rsidR="00E4657D">
              <w:rPr>
                <w:b/>
                <w:bCs/>
              </w:rPr>
              <w:t>4</w:t>
            </w:r>
            <w:r w:rsidRPr="00A518BC">
              <w:rPr>
                <w:b/>
                <w:bCs/>
              </w:rPr>
              <w:t xml:space="preserve"> - Criteria 1:  </w:t>
            </w:r>
            <w:r w:rsidRPr="00A518BC">
              <w:t xml:space="preserve">All leg wound assessment </w:t>
            </w:r>
            <w:r>
              <w:t>criteria assessed.</w:t>
            </w:r>
          </w:p>
          <w:p w14:paraId="5FFFB5E2" w14:textId="4683C542" w:rsidR="00A518BC" w:rsidRDefault="00A518BC" w:rsidP="00A518BC"/>
        </w:tc>
        <w:tc>
          <w:tcPr>
            <w:tcW w:w="1139" w:type="dxa"/>
            <w:tcBorders>
              <w:bottom w:val="single" w:sz="4" w:space="0" w:color="auto"/>
            </w:tcBorders>
            <w:shd w:val="clear" w:color="auto" w:fill="D9E2F3" w:themeFill="accent1" w:themeFillTint="33"/>
          </w:tcPr>
          <w:p w14:paraId="35A326CF" w14:textId="71EB03DA" w:rsidR="00A518BC" w:rsidRDefault="00A518BC" w:rsidP="00A518BC"/>
        </w:tc>
      </w:tr>
      <w:tr w:rsidR="00A518BC" w14:paraId="67321CDF" w14:textId="23314D02" w:rsidTr="00A518BC">
        <w:tc>
          <w:tcPr>
            <w:tcW w:w="8217" w:type="dxa"/>
            <w:gridSpan w:val="3"/>
            <w:shd w:val="clear" w:color="auto" w:fill="FBE4D5" w:themeFill="accent2" w:themeFillTint="33"/>
          </w:tcPr>
          <w:p w14:paraId="26128110" w14:textId="57FCAD3E" w:rsidR="00A518BC" w:rsidRDefault="00A518BC" w:rsidP="00A518BC">
            <w:r>
              <w:rPr>
                <w:b/>
                <w:bCs/>
              </w:rPr>
              <w:t>CQUIN CCG1</w:t>
            </w:r>
            <w:r w:rsidR="00E4657D">
              <w:rPr>
                <w:b/>
                <w:bCs/>
              </w:rPr>
              <w:t>4</w:t>
            </w:r>
            <w:r>
              <w:rPr>
                <w:b/>
                <w:bCs/>
              </w:rPr>
              <w:t xml:space="preserve">- Criteria 2:  </w:t>
            </w:r>
            <w:r w:rsidRPr="002C455C">
              <w:t>Patient with a leg wound with an adequate arterial supply (ABPI &gt;0.8-1.3) and where no other condition that contra-indicates compression therapy is suspected, treated with a minimum of 40mmHg compression therapy.</w:t>
            </w:r>
            <w:r w:rsidRPr="00BE10A2">
              <w:t xml:space="preserve"> </w:t>
            </w:r>
          </w:p>
        </w:tc>
        <w:tc>
          <w:tcPr>
            <w:tcW w:w="1139" w:type="dxa"/>
            <w:shd w:val="clear" w:color="auto" w:fill="FBE4D5" w:themeFill="accent2" w:themeFillTint="33"/>
          </w:tcPr>
          <w:p w14:paraId="133A5625" w14:textId="07BE2EB5" w:rsidR="00A518BC" w:rsidRDefault="00A518BC" w:rsidP="00A518BC"/>
        </w:tc>
      </w:tr>
      <w:tr w:rsidR="00A518BC" w14:paraId="361C0279" w14:textId="51ADB99D" w:rsidTr="00A518BC">
        <w:tc>
          <w:tcPr>
            <w:tcW w:w="8217" w:type="dxa"/>
            <w:gridSpan w:val="3"/>
            <w:shd w:val="clear" w:color="auto" w:fill="E2EFD9" w:themeFill="accent6" w:themeFillTint="33"/>
          </w:tcPr>
          <w:p w14:paraId="1EA167CF" w14:textId="70A03EB0" w:rsidR="00A518BC" w:rsidRDefault="00A518BC" w:rsidP="00A518BC">
            <w:r>
              <w:rPr>
                <w:b/>
                <w:bCs/>
              </w:rPr>
              <w:t>CQUIN CCG1</w:t>
            </w:r>
            <w:r w:rsidR="00E4657D">
              <w:rPr>
                <w:b/>
                <w:bCs/>
              </w:rPr>
              <w:t>4</w:t>
            </w:r>
            <w:r>
              <w:rPr>
                <w:b/>
                <w:bCs/>
              </w:rPr>
              <w:t xml:space="preserve"> - Criteria 3:  </w:t>
            </w:r>
            <w:r>
              <w:t xml:space="preserve"> </w:t>
            </w:r>
            <w:r w:rsidRPr="00AC5428">
              <w:t>Patient diagnosed with a leg ulcer documented as having been referred (or a request being made for referral) to vascular services for assessment for surgical interventions.</w:t>
            </w:r>
          </w:p>
        </w:tc>
        <w:tc>
          <w:tcPr>
            <w:tcW w:w="1139" w:type="dxa"/>
            <w:shd w:val="clear" w:color="auto" w:fill="E2EFD9" w:themeFill="accent6" w:themeFillTint="33"/>
          </w:tcPr>
          <w:p w14:paraId="60C10B84" w14:textId="675ABA13" w:rsidR="00A518BC" w:rsidRDefault="00A518BC" w:rsidP="00A518BC"/>
        </w:tc>
      </w:tr>
      <w:tr w:rsidR="00A518BC" w14:paraId="24DA0F5E" w14:textId="77777777" w:rsidTr="00A518BC">
        <w:tc>
          <w:tcPr>
            <w:tcW w:w="8217" w:type="dxa"/>
            <w:gridSpan w:val="3"/>
            <w:tcBorders>
              <w:bottom w:val="single" w:sz="4" w:space="0" w:color="auto"/>
            </w:tcBorders>
            <w:shd w:val="clear" w:color="auto" w:fill="FFFFFF" w:themeFill="background1"/>
          </w:tcPr>
          <w:p w14:paraId="65717AF1" w14:textId="77777777" w:rsidR="00A518BC" w:rsidRDefault="00A518BC" w:rsidP="00A518BC">
            <w:pPr>
              <w:jc w:val="right"/>
              <w:rPr>
                <w:b/>
                <w:bCs/>
              </w:rPr>
            </w:pPr>
            <w:r>
              <w:rPr>
                <w:b/>
                <w:bCs/>
              </w:rPr>
              <w:t>ALL CQUIN Criteria achieved</w:t>
            </w:r>
          </w:p>
        </w:tc>
        <w:tc>
          <w:tcPr>
            <w:tcW w:w="1139" w:type="dxa"/>
            <w:tcBorders>
              <w:bottom w:val="single" w:sz="4" w:space="0" w:color="auto"/>
            </w:tcBorders>
            <w:shd w:val="clear" w:color="auto" w:fill="FFFFFF" w:themeFill="background1"/>
          </w:tcPr>
          <w:p w14:paraId="7F67830A" w14:textId="77777777" w:rsidR="00A518BC" w:rsidRDefault="00A518BC" w:rsidP="00A518BC">
            <w:pPr>
              <w:jc w:val="right"/>
              <w:rPr>
                <w:b/>
                <w:bCs/>
              </w:rPr>
            </w:pPr>
          </w:p>
          <w:p w14:paraId="404EDA9A" w14:textId="05E00D36" w:rsidR="00A518BC" w:rsidRDefault="00A518BC" w:rsidP="00A518BC">
            <w:pPr>
              <w:jc w:val="right"/>
              <w:rPr>
                <w:b/>
                <w:bCs/>
              </w:rPr>
            </w:pPr>
          </w:p>
        </w:tc>
      </w:tr>
    </w:tbl>
    <w:p w14:paraId="1588ADA8" w14:textId="2E91E264" w:rsidR="00E270CE" w:rsidRDefault="00E270CE" w:rsidP="00DB2DAF">
      <w:pPr>
        <w:pStyle w:val="Heading2"/>
      </w:pPr>
    </w:p>
    <w:p w14:paraId="405F3E59" w14:textId="77777777" w:rsidR="008E0F72" w:rsidRPr="008E0F72" w:rsidRDefault="008E0F72" w:rsidP="008E0F72"/>
    <w:p w14:paraId="6B9B6D93" w14:textId="77777777" w:rsidR="002C455C" w:rsidRDefault="002C455C" w:rsidP="00DB2DAF">
      <w:pPr>
        <w:pStyle w:val="Heading2"/>
        <w:sectPr w:rsidR="002C455C" w:rsidSect="002C455C">
          <w:headerReference w:type="default" r:id="rId11"/>
          <w:headerReference w:type="first" r:id="rId12"/>
          <w:pgSz w:w="11906" w:h="16838"/>
          <w:pgMar w:top="720" w:right="720" w:bottom="720" w:left="720" w:header="708" w:footer="708" w:gutter="0"/>
          <w:cols w:space="708"/>
          <w:titlePg/>
          <w:docGrid w:linePitch="360"/>
        </w:sectPr>
      </w:pPr>
    </w:p>
    <w:p w14:paraId="2CFD2B57" w14:textId="5556522D" w:rsidR="000970C2" w:rsidRDefault="000970C2" w:rsidP="008A06D7">
      <w:pPr>
        <w:pStyle w:val="Heading2"/>
        <w:jc w:val="center"/>
      </w:pPr>
      <w:r>
        <w:lastRenderedPageBreak/>
        <w:t>Explanatory Notes</w:t>
      </w:r>
    </w:p>
    <w:p w14:paraId="377006D2" w14:textId="215D89B2" w:rsidR="008A06D7" w:rsidRDefault="008A06D7" w:rsidP="00510C4A"/>
    <w:p w14:paraId="3FA112DD" w14:textId="3F08686D" w:rsidR="008A06D7" w:rsidRDefault="008A06D7" w:rsidP="008A06D7">
      <w:pPr>
        <w:pStyle w:val="Heading3"/>
      </w:pPr>
      <w:r>
        <w:t>Lower Limb Assessment Criteria</w:t>
      </w:r>
    </w:p>
    <w:p w14:paraId="409AE7A1" w14:textId="77777777" w:rsidR="00815EBC" w:rsidRPr="00815EBC" w:rsidRDefault="00815EBC" w:rsidP="00815EBC">
      <w:pPr>
        <w:rPr>
          <w:sz w:val="8"/>
          <w:szCs w:val="8"/>
        </w:rPr>
      </w:pPr>
    </w:p>
    <w:p w14:paraId="22613190" w14:textId="0868CC3D" w:rsidR="00510C4A" w:rsidRPr="00510C4A" w:rsidRDefault="00510C4A" w:rsidP="00510C4A">
      <w:r w:rsidRPr="00510C4A">
        <w:t xml:space="preserve">The Lower Limb Assessment Essential Criteria has been compiled using all the criteria from the NHS England </w:t>
      </w:r>
      <w:hyperlink r:id="rId13" w:history="1">
        <w:r w:rsidRPr="00510C4A">
          <w:rPr>
            <w:rStyle w:val="Hyperlink"/>
          </w:rPr>
          <w:t>Leading Change Adding Value Framework Minimum Data Set</w:t>
        </w:r>
      </w:hyperlink>
      <w:r w:rsidRPr="00510C4A">
        <w:rPr>
          <w:vertAlign w:val="superscript"/>
        </w:rPr>
        <w:footnoteReference w:id="1"/>
      </w:r>
      <w:r w:rsidRPr="00510C4A">
        <w:t xml:space="preserve">  (Table 4 p 235) and the assessment criteria from the </w:t>
      </w:r>
      <w:hyperlink r:id="rId14" w:history="1">
        <w:r w:rsidRPr="00510C4A">
          <w:rPr>
            <w:rStyle w:val="Hyperlink"/>
          </w:rPr>
          <w:t>SIGN Guideline for Venous Leg Ulcers</w:t>
        </w:r>
      </w:hyperlink>
      <w:r w:rsidRPr="00510C4A">
        <w:rPr>
          <w:vertAlign w:val="superscript"/>
        </w:rPr>
        <w:footnoteReference w:id="2"/>
      </w:r>
      <w:r w:rsidRPr="00510C4A">
        <w:t xml:space="preserve">.   These criteria are the </w:t>
      </w:r>
      <w:r w:rsidRPr="00510C4A">
        <w:rPr>
          <w:b/>
          <w:bCs/>
          <w:u w:val="single"/>
        </w:rPr>
        <w:t>minimum</w:t>
      </w:r>
      <w:r w:rsidRPr="00510C4A">
        <w:t xml:space="preserve"> that should be documented in a Lower Limb assessment.</w:t>
      </w:r>
    </w:p>
    <w:p w14:paraId="4E2F0B37" w14:textId="37BC6A01" w:rsidR="000970C2" w:rsidRDefault="00752DB0" w:rsidP="000970C2">
      <w:pPr>
        <w:pStyle w:val="ListParagraph"/>
        <w:numPr>
          <w:ilvl w:val="0"/>
          <w:numId w:val="1"/>
        </w:numPr>
      </w:pPr>
      <w:r w:rsidRPr="00752DB0">
        <w:rPr>
          <w:i/>
          <w:iCs/>
        </w:rPr>
        <w:t>General Health Information</w:t>
      </w:r>
      <w:r>
        <w:t xml:space="preserve">: </w:t>
      </w:r>
      <w:r w:rsidR="000970C2">
        <w:t xml:space="preserve">These items should be recorded in the wound assessment record if not already recorded in the </w:t>
      </w:r>
      <w:r w:rsidR="00DB2DAF">
        <w:t>wider patient record.</w:t>
      </w:r>
    </w:p>
    <w:p w14:paraId="0E34649E" w14:textId="3748B2D6" w:rsidR="0011020F" w:rsidRPr="0011020F" w:rsidRDefault="0011020F" w:rsidP="000970C2">
      <w:pPr>
        <w:pStyle w:val="ListParagraph"/>
        <w:numPr>
          <w:ilvl w:val="0"/>
          <w:numId w:val="1"/>
        </w:numPr>
      </w:pPr>
      <w:r w:rsidRPr="0011020F">
        <w:rPr>
          <w:i/>
          <w:iCs/>
        </w:rPr>
        <w:t>Risk factors for delayed healing</w:t>
      </w:r>
      <w:r>
        <w:t>: Including diseases and conditions that affect wound healing (e.g. diabetes, auto-immune conditions), s</w:t>
      </w:r>
      <w:r w:rsidRPr="0011020F">
        <w:t>ystemic and local blood supply to the wound, susceptibility to infection, medication affecting wound healing, skin integrity</w:t>
      </w:r>
      <w:r>
        <w:t xml:space="preserve"> and </w:t>
      </w:r>
      <w:r w:rsidR="00A164C0">
        <w:t>other factors that affect healing such as obesity.</w:t>
      </w:r>
    </w:p>
    <w:p w14:paraId="7BA5532C" w14:textId="19DAE5C9" w:rsidR="00DB2DAF" w:rsidRDefault="00DB2DAF" w:rsidP="000970C2">
      <w:pPr>
        <w:pStyle w:val="ListParagraph"/>
        <w:numPr>
          <w:ilvl w:val="0"/>
          <w:numId w:val="1"/>
        </w:numPr>
      </w:pPr>
      <w:r w:rsidRPr="00752DB0">
        <w:rPr>
          <w:i/>
          <w:iCs/>
        </w:rPr>
        <w:t>Wound type/classification</w:t>
      </w:r>
      <w:r>
        <w:t xml:space="preserve">:  </w:t>
      </w:r>
      <w:r w:rsidR="0078723A">
        <w:t xml:space="preserve">Wounds should be classified by the dominant </w:t>
      </w:r>
      <w:r w:rsidR="00C24A3E">
        <w:t>cause of wounding and/ or non-healing e.g. diabetic foot ulcer, venous leg ulcer, pressure ulcer etc</w:t>
      </w:r>
      <w:r w:rsidR="00136C7F">
        <w:t>.</w:t>
      </w:r>
    </w:p>
    <w:p w14:paraId="2D1803DA" w14:textId="7DAE10FB" w:rsidR="00C24A3E" w:rsidRDefault="00C24A3E" w:rsidP="000970C2">
      <w:pPr>
        <w:pStyle w:val="ListParagraph"/>
        <w:numPr>
          <w:ilvl w:val="0"/>
          <w:numId w:val="1"/>
        </w:numPr>
      </w:pPr>
      <w:r w:rsidRPr="00752DB0">
        <w:rPr>
          <w:i/>
          <w:iCs/>
        </w:rPr>
        <w:t>Wound duration</w:t>
      </w:r>
      <w:r>
        <w:t>:  The date of initial injury/ wound appearance</w:t>
      </w:r>
      <w:r w:rsidR="00136C7F">
        <w:t>.</w:t>
      </w:r>
    </w:p>
    <w:p w14:paraId="45E153F7" w14:textId="6885E2BA" w:rsidR="00C24A3E" w:rsidRDefault="003E6D4A" w:rsidP="000970C2">
      <w:pPr>
        <w:pStyle w:val="ListParagraph"/>
        <w:numPr>
          <w:ilvl w:val="0"/>
          <w:numId w:val="1"/>
        </w:numPr>
      </w:pPr>
      <w:r w:rsidRPr="00752DB0">
        <w:rPr>
          <w:i/>
          <w:iCs/>
        </w:rPr>
        <w:t>Treatment aim</w:t>
      </w:r>
      <w:r>
        <w:t>:  For most wounds, the overall aim will be healing within a specified time frame but there may be other intermediate aims which should also be recorded such as reduction in pain, odour etc.  In a few cases, wound healing may not be a viable option in which case</w:t>
      </w:r>
      <w:r w:rsidR="00001292">
        <w:t xml:space="preserve"> an alternative treatment aim (along with </w:t>
      </w:r>
      <w:r>
        <w:t>underpinning rationale</w:t>
      </w:r>
      <w:r w:rsidR="00001292">
        <w:t>)</w:t>
      </w:r>
      <w:r>
        <w:t xml:space="preserve"> should be noted.</w:t>
      </w:r>
    </w:p>
    <w:p w14:paraId="277D55F1" w14:textId="355012C6" w:rsidR="00F83B46" w:rsidRDefault="00F83B46" w:rsidP="000970C2">
      <w:pPr>
        <w:pStyle w:val="ListParagraph"/>
        <w:numPr>
          <w:ilvl w:val="0"/>
          <w:numId w:val="1"/>
        </w:numPr>
      </w:pPr>
      <w:r w:rsidRPr="00752DB0">
        <w:rPr>
          <w:i/>
          <w:iCs/>
        </w:rPr>
        <w:t>Planned re-assessment date</w:t>
      </w:r>
      <w:r>
        <w:t xml:space="preserve">:  As a minimum, wounds should be re-assessed </w:t>
      </w:r>
      <w:r w:rsidR="00AB6CF8">
        <w:t xml:space="preserve">4 weekly.  </w:t>
      </w:r>
      <w:r>
        <w:t>More frequent re-assessment may sometimes be appropriate.</w:t>
      </w:r>
    </w:p>
    <w:p w14:paraId="0D31B2F3" w14:textId="7515ED57" w:rsidR="0011020F" w:rsidRPr="0011020F" w:rsidRDefault="0011020F" w:rsidP="00A3644D">
      <w:pPr>
        <w:pStyle w:val="ListParagraph"/>
        <w:numPr>
          <w:ilvl w:val="0"/>
          <w:numId w:val="1"/>
        </w:numPr>
        <w:rPr>
          <w:i/>
          <w:iCs/>
        </w:rPr>
      </w:pPr>
      <w:r w:rsidRPr="0011020F">
        <w:rPr>
          <w:i/>
          <w:iCs/>
        </w:rPr>
        <w:t xml:space="preserve">Undermining/tunnelling: </w:t>
      </w:r>
      <w:r w:rsidR="00A776A0">
        <w:t>Undermining and tunnelling is unusual on leg wounds but should be noted in documentation if present.</w:t>
      </w:r>
    </w:p>
    <w:p w14:paraId="74C6CAD0" w14:textId="17735A17" w:rsidR="00A3644D" w:rsidRDefault="00752DB0" w:rsidP="00A3644D">
      <w:pPr>
        <w:pStyle w:val="ListParagraph"/>
        <w:numPr>
          <w:ilvl w:val="0"/>
          <w:numId w:val="1"/>
        </w:numPr>
      </w:pPr>
      <w:r w:rsidRPr="00752DB0">
        <w:rPr>
          <w:i/>
          <w:iCs/>
        </w:rPr>
        <w:t>Category (pressure ulcers only</w:t>
      </w:r>
      <w:r w:rsidRPr="00752DB0">
        <w:t>)</w:t>
      </w:r>
      <w:r>
        <w:t xml:space="preserve">: </w:t>
      </w:r>
      <w:r w:rsidR="00A3644D" w:rsidRPr="00A3644D">
        <w:t>NICE</w:t>
      </w:r>
      <w:r w:rsidR="00A3644D">
        <w:rPr>
          <w:rStyle w:val="FootnoteReference"/>
        </w:rPr>
        <w:footnoteReference w:id="3"/>
      </w:r>
      <w:r w:rsidR="00A3644D">
        <w:t xml:space="preserve"> </w:t>
      </w:r>
      <w:r w:rsidR="00A3644D" w:rsidRPr="00A3644D">
        <w:t xml:space="preserve">requires NHS Trusts to report skin pressure damage of Category / Stage 2 or above.  It is important to differentiate between pressure ulcers on the </w:t>
      </w:r>
      <w:r w:rsidR="00B54674">
        <w:t>leg and leg</w:t>
      </w:r>
      <w:r w:rsidR="00A3644D" w:rsidRPr="00A3644D">
        <w:t xml:space="preserve"> ulceration due to other causes.  A pressure ulcer is localised injury to the skin and/or underlying tissue usually over a bony prominence primarily as a result of unrelieved pressure due to immobility in combination with shear</w:t>
      </w:r>
      <w:r w:rsidR="00A3644D" w:rsidRPr="00A3644D">
        <w:rPr>
          <w:vertAlign w:val="superscript"/>
        </w:rPr>
        <w:t>3</w:t>
      </w:r>
      <w:r w:rsidR="00A3644D" w:rsidRPr="00A3644D">
        <w:t xml:space="preserve">. </w:t>
      </w:r>
      <w:r w:rsidR="00B54674">
        <w:t>Some leg</w:t>
      </w:r>
      <w:r w:rsidR="00A3644D" w:rsidRPr="00A3644D">
        <w:t xml:space="preserve"> ulcers have an element of pressure as part of the aetiology. When all individual clinical and non-clinical factors pertaining to the patient are considered and the predominant factor of cause is pressure, then the wound should be considered a pressure ulcer and reported as such. When the predominant factor is disease related </w:t>
      </w:r>
      <w:r w:rsidR="00150FAF">
        <w:t>(</w:t>
      </w:r>
      <w:r w:rsidR="00A3644D" w:rsidRPr="00A3644D">
        <w:t>e.g. diabetes, neuropathy, arterial disease</w:t>
      </w:r>
      <w:r w:rsidR="00150FAF">
        <w:t>)</w:t>
      </w:r>
      <w:r w:rsidR="00A3644D" w:rsidRPr="00A3644D">
        <w:t xml:space="preserve"> as the NICE definition of a pressure ulcer</w:t>
      </w:r>
      <w:r w:rsidR="00B54674" w:rsidRPr="00B54674">
        <w:rPr>
          <w:vertAlign w:val="superscript"/>
        </w:rPr>
        <w:t>3</w:t>
      </w:r>
      <w:r w:rsidR="00B54674">
        <w:t xml:space="preserve"> </w:t>
      </w:r>
      <w:r w:rsidR="00A3644D" w:rsidRPr="00A3644D">
        <w:t>relates to static pressure not ambulatory pressure, the wound should not be considered a pressure ulcer in patients who are independently mobile</w:t>
      </w:r>
      <w:r w:rsidR="00150FAF">
        <w:t>,</w:t>
      </w:r>
      <w:r w:rsidR="00A3644D" w:rsidRPr="00A3644D">
        <w:t xml:space="preserve"> unless the pressure damage has been caused by a prescribed orthosis or cast. </w:t>
      </w:r>
    </w:p>
    <w:p w14:paraId="0A66DA80" w14:textId="0A9D932E" w:rsidR="003E6D4A" w:rsidRDefault="00752DB0" w:rsidP="000970C2">
      <w:pPr>
        <w:pStyle w:val="ListParagraph"/>
        <w:numPr>
          <w:ilvl w:val="0"/>
          <w:numId w:val="1"/>
        </w:numPr>
      </w:pPr>
      <w:r w:rsidRPr="00752DB0">
        <w:rPr>
          <w:i/>
          <w:iCs/>
        </w:rPr>
        <w:t>Wound bed tissue type</w:t>
      </w:r>
      <w:r>
        <w:t xml:space="preserve">:  </w:t>
      </w:r>
      <w:r w:rsidR="00BA4FA7">
        <w:t>Granulation tissue, epithelial tissue, slough etc</w:t>
      </w:r>
      <w:r w:rsidR="00406421">
        <w:t>.</w:t>
      </w:r>
    </w:p>
    <w:p w14:paraId="67FBF5A0" w14:textId="579A3479" w:rsidR="00BA4FA7" w:rsidRDefault="00BA4FA7" w:rsidP="000970C2">
      <w:pPr>
        <w:pStyle w:val="ListParagraph"/>
        <w:numPr>
          <w:ilvl w:val="0"/>
          <w:numId w:val="1"/>
        </w:numPr>
      </w:pPr>
      <w:r w:rsidRPr="00BA7FA8">
        <w:rPr>
          <w:i/>
          <w:iCs/>
        </w:rPr>
        <w:lastRenderedPageBreak/>
        <w:t>Wound bed tissue amount</w:t>
      </w:r>
      <w:r>
        <w:t>: Commonly reported as % of different t</w:t>
      </w:r>
      <w:r w:rsidR="00BA7FA8">
        <w:t>issue types covering wound bed.</w:t>
      </w:r>
    </w:p>
    <w:p w14:paraId="51DBF945" w14:textId="3CFB82CB" w:rsidR="00BA7FA8" w:rsidRDefault="00E45829" w:rsidP="000970C2">
      <w:pPr>
        <w:pStyle w:val="ListParagraph"/>
        <w:numPr>
          <w:ilvl w:val="0"/>
          <w:numId w:val="1"/>
        </w:numPr>
      </w:pPr>
      <w:r w:rsidRPr="00E45829">
        <w:rPr>
          <w:i/>
          <w:iCs/>
        </w:rPr>
        <w:t>Description of wound margins/edges</w:t>
      </w:r>
      <w:r>
        <w:t>: e.g.</w:t>
      </w:r>
      <w:r w:rsidR="00AB6CF8" w:rsidRPr="00AB6CF8">
        <w:t xml:space="preserve"> steep edged, </w:t>
      </w:r>
      <w:r w:rsidR="00AB6CF8">
        <w:t xml:space="preserve">presence of </w:t>
      </w:r>
      <w:r w:rsidR="00AB6CF8" w:rsidRPr="00AB6CF8">
        <w:t>callus, macerat</w:t>
      </w:r>
      <w:r w:rsidR="00AB6CF8">
        <w:t xml:space="preserve">ed, </w:t>
      </w:r>
      <w:r>
        <w:t>rolled etc</w:t>
      </w:r>
      <w:r w:rsidR="00C325A7">
        <w:t>.</w:t>
      </w:r>
    </w:p>
    <w:p w14:paraId="24CCABC6" w14:textId="17D57014" w:rsidR="00E45829" w:rsidRPr="00E16078" w:rsidRDefault="00E16078" w:rsidP="000970C2">
      <w:pPr>
        <w:pStyle w:val="ListParagraph"/>
        <w:numPr>
          <w:ilvl w:val="0"/>
          <w:numId w:val="1"/>
        </w:numPr>
        <w:rPr>
          <w:i/>
          <w:iCs/>
        </w:rPr>
      </w:pPr>
      <w:r w:rsidRPr="00E16078">
        <w:rPr>
          <w:i/>
          <w:iCs/>
        </w:rPr>
        <w:t>Colour and condition of surrounding skin</w:t>
      </w:r>
      <w:r>
        <w:rPr>
          <w:i/>
          <w:iCs/>
        </w:rPr>
        <w:t xml:space="preserve">: </w:t>
      </w:r>
      <w:r>
        <w:t>e.g. healthy</w:t>
      </w:r>
      <w:r w:rsidR="00AB6CF8">
        <w:t>, inflamed,</w:t>
      </w:r>
      <w:r>
        <w:t xml:space="preserve"> swollen, macerated etc</w:t>
      </w:r>
      <w:r w:rsidR="00C325A7">
        <w:t>.</w:t>
      </w:r>
    </w:p>
    <w:p w14:paraId="2ED5BE1D" w14:textId="1616E6D9" w:rsidR="00E16078" w:rsidRPr="00904DD1" w:rsidRDefault="00904DD1" w:rsidP="000970C2">
      <w:pPr>
        <w:pStyle w:val="ListParagraph"/>
        <w:numPr>
          <w:ilvl w:val="0"/>
          <w:numId w:val="1"/>
        </w:numPr>
        <w:rPr>
          <w:i/>
          <w:iCs/>
        </w:rPr>
      </w:pPr>
      <w:r w:rsidRPr="00904DD1">
        <w:rPr>
          <w:i/>
          <w:iCs/>
        </w:rPr>
        <w:t>Whether the wound has healed</w:t>
      </w:r>
      <w:r>
        <w:t>:  Defined as full epithelialisation across 100% of wound bed along with date of healing.</w:t>
      </w:r>
    </w:p>
    <w:p w14:paraId="156BDD64" w14:textId="723969EF" w:rsidR="00837909" w:rsidRPr="009024DD" w:rsidRDefault="003A7BB9" w:rsidP="00837909">
      <w:pPr>
        <w:pStyle w:val="ListParagraph"/>
        <w:numPr>
          <w:ilvl w:val="0"/>
          <w:numId w:val="1"/>
        </w:numPr>
        <w:rPr>
          <w:i/>
          <w:iCs/>
        </w:rPr>
      </w:pPr>
      <w:r w:rsidRPr="009024DD">
        <w:rPr>
          <w:i/>
          <w:iCs/>
        </w:rPr>
        <w:t>Presence of wound pain</w:t>
      </w:r>
      <w:r>
        <w:t>:  Recorded with information about level of pain using a validated visual analogue scale and description</w:t>
      </w:r>
      <w:r w:rsidR="00C325A7">
        <w:t>.</w:t>
      </w:r>
    </w:p>
    <w:p w14:paraId="75C45E9C" w14:textId="06981BED" w:rsidR="00150FAF" w:rsidRPr="00837909" w:rsidRDefault="00B20E73" w:rsidP="00150FAF">
      <w:pPr>
        <w:pStyle w:val="ListParagraph"/>
        <w:numPr>
          <w:ilvl w:val="0"/>
          <w:numId w:val="1"/>
        </w:numPr>
        <w:rPr>
          <w:i/>
          <w:iCs/>
        </w:rPr>
      </w:pPr>
      <w:r w:rsidRPr="00837909">
        <w:rPr>
          <w:i/>
          <w:iCs/>
        </w:rPr>
        <w:t xml:space="preserve">Exudate amount:  </w:t>
      </w:r>
      <w:r>
        <w:t>Exudate amount is difficult to measure accurately so an estimate (e.g. low, moderate, high) is usually adequate</w:t>
      </w:r>
      <w:r w:rsidR="00150FAF">
        <w:t>.</w:t>
      </w:r>
    </w:p>
    <w:p w14:paraId="03C43AF6" w14:textId="00835BC1" w:rsidR="00B20E73" w:rsidRPr="00872726" w:rsidRDefault="00B20E73" w:rsidP="00150FAF">
      <w:pPr>
        <w:pStyle w:val="ListParagraph"/>
        <w:numPr>
          <w:ilvl w:val="0"/>
          <w:numId w:val="1"/>
        </w:numPr>
        <w:rPr>
          <w:i/>
          <w:iCs/>
        </w:rPr>
      </w:pPr>
      <w:r>
        <w:rPr>
          <w:i/>
          <w:iCs/>
        </w:rPr>
        <w:t xml:space="preserve">Odour occurrence:  </w:t>
      </w:r>
      <w:r>
        <w:t xml:space="preserve"> It is normal for there to be some odour when a stale dressing is removed but significant odour should be noted and described.</w:t>
      </w:r>
    </w:p>
    <w:p w14:paraId="5DAF991D" w14:textId="7BC70EAA" w:rsidR="00872726" w:rsidRPr="00872726" w:rsidRDefault="00872726" w:rsidP="00872726">
      <w:pPr>
        <w:pStyle w:val="ListParagraph"/>
        <w:numPr>
          <w:ilvl w:val="0"/>
          <w:numId w:val="1"/>
        </w:numPr>
        <w:rPr>
          <w:i/>
          <w:iCs/>
        </w:rPr>
      </w:pPr>
      <w:r w:rsidRPr="00872726">
        <w:rPr>
          <w:i/>
          <w:iCs/>
        </w:rPr>
        <w:t>Signs of systemic infection</w:t>
      </w:r>
      <w:r>
        <w:rPr>
          <w:i/>
          <w:iCs/>
        </w:rPr>
        <w:t>:</w:t>
      </w:r>
    </w:p>
    <w:p w14:paraId="3491CC9F" w14:textId="7BC50B3D" w:rsidR="00872726" w:rsidRPr="00056098" w:rsidRDefault="00872726" w:rsidP="00872726">
      <w:pPr>
        <w:pStyle w:val="ListParagraph"/>
        <w:numPr>
          <w:ilvl w:val="0"/>
          <w:numId w:val="1"/>
        </w:numPr>
        <w:rPr>
          <w:i/>
          <w:iCs/>
        </w:rPr>
      </w:pPr>
      <w:r w:rsidRPr="00056098">
        <w:rPr>
          <w:i/>
          <w:iCs/>
        </w:rPr>
        <w:t>Signs of local wound infection</w:t>
      </w:r>
      <w:r w:rsidR="002D61E2" w:rsidRPr="00056098">
        <w:rPr>
          <w:i/>
          <w:iCs/>
        </w:rPr>
        <w:t xml:space="preserve">:  </w:t>
      </w:r>
      <w:r w:rsidR="002D61E2">
        <w:t>The clinical signs of wound infection</w:t>
      </w:r>
      <w:r w:rsidR="00AB6CF8">
        <w:t xml:space="preserve"> can include </w:t>
      </w:r>
      <w:r w:rsidR="002D61E2" w:rsidRPr="002D61E2">
        <w:t>cellulitis, pyrexia, increased pain, rapid extension of area of ulceration, malodour, increased exudate</w:t>
      </w:r>
      <w:r w:rsidR="002D61E2" w:rsidRPr="00056098">
        <w:rPr>
          <w:vertAlign w:val="superscript"/>
        </w:rPr>
        <w:t>2</w:t>
      </w:r>
      <w:r w:rsidR="002D61E2">
        <w:t xml:space="preserve">. </w:t>
      </w:r>
      <w:r w:rsidR="00056098" w:rsidRPr="00056098">
        <w:t>Venous ulcers are commonly associated with varicose eczema which is characterised by erythema, weeping, scaling and pigmentation, and may be misdiagnosed as infection</w:t>
      </w:r>
      <w:r w:rsidR="00900DC8">
        <w:t>.</w:t>
      </w:r>
    </w:p>
    <w:p w14:paraId="4A63AC7E" w14:textId="21E63260" w:rsidR="00872726" w:rsidRPr="0078723A" w:rsidRDefault="00872726" w:rsidP="00056098">
      <w:pPr>
        <w:pStyle w:val="ListParagraph"/>
        <w:numPr>
          <w:ilvl w:val="0"/>
          <w:numId w:val="1"/>
        </w:numPr>
      </w:pPr>
      <w:r w:rsidRPr="00056098">
        <w:rPr>
          <w:i/>
          <w:iCs/>
        </w:rPr>
        <w:t>Whether a wound swab has been taken:</w:t>
      </w:r>
      <w:r w:rsidR="0078723A" w:rsidRPr="0078723A">
        <w:t xml:space="preserve"> Bacteriological swabs should only be taken where there is clinical evidence of infection</w:t>
      </w:r>
      <w:r w:rsidR="00AB6CF8">
        <w:t xml:space="preserve"> (local or systemic)</w:t>
      </w:r>
      <w:r w:rsidR="0078723A">
        <w:t xml:space="preserve">.  In the absence of clinical signs of infection </w:t>
      </w:r>
      <w:r w:rsidR="002D61E2">
        <w:t xml:space="preserve">(as above) </w:t>
      </w:r>
      <w:r w:rsidR="0078723A">
        <w:t>there is no indication for routine bacteriological swabbing of venous ulcers. All ulcers will be colonised by micro-organisms at some point, and colonisation in itself is not associated with delayed healing</w:t>
      </w:r>
      <w:r w:rsidR="0078723A" w:rsidRPr="00056098">
        <w:rPr>
          <w:vertAlign w:val="superscript"/>
        </w:rPr>
        <w:t>2</w:t>
      </w:r>
      <w:r w:rsidR="0078723A">
        <w:t>.</w:t>
      </w:r>
      <w:r w:rsidR="00056098">
        <w:t xml:space="preserve"> </w:t>
      </w:r>
    </w:p>
    <w:p w14:paraId="56B1DC94" w14:textId="4C763AAA" w:rsidR="00B20E73" w:rsidRPr="003E5B90" w:rsidRDefault="00872726" w:rsidP="00872726">
      <w:pPr>
        <w:pStyle w:val="ListParagraph"/>
        <w:numPr>
          <w:ilvl w:val="0"/>
          <w:numId w:val="1"/>
        </w:numPr>
      </w:pPr>
      <w:r w:rsidRPr="003E5B90">
        <w:rPr>
          <w:i/>
          <w:iCs/>
        </w:rPr>
        <w:t xml:space="preserve">Signs of venous disease: </w:t>
      </w:r>
      <w:r w:rsidRPr="003E5B90">
        <w:t>The leg should be assessed for signs of venous disease, in particular, varicose veins, venous dermatitis, haemosiderin deposition, lipodermatosclerosis and atrophie blanche. A venous duplex scan may aid assessment of the leg.</w:t>
      </w:r>
    </w:p>
    <w:p w14:paraId="6EB572C8" w14:textId="0163D46D" w:rsidR="00872726" w:rsidRPr="003E5B90" w:rsidRDefault="00F90C1C" w:rsidP="00872726">
      <w:pPr>
        <w:pStyle w:val="ListParagraph"/>
        <w:numPr>
          <w:ilvl w:val="0"/>
          <w:numId w:val="1"/>
        </w:numPr>
      </w:pPr>
      <w:r w:rsidRPr="003E5B90">
        <w:rPr>
          <w:rFonts w:cs="CG Omega"/>
          <w:i/>
          <w:iCs/>
          <w:color w:val="000000"/>
        </w:rPr>
        <w:t>Lower Limb O</w:t>
      </w:r>
      <w:r w:rsidR="00E83777">
        <w:rPr>
          <w:rFonts w:cs="CG Omega"/>
          <w:i/>
          <w:iCs/>
          <w:color w:val="000000"/>
        </w:rPr>
        <w:t>e</w:t>
      </w:r>
      <w:r w:rsidRPr="003E5B90">
        <w:rPr>
          <w:rFonts w:cs="CG Omega"/>
          <w:i/>
          <w:iCs/>
          <w:color w:val="000000"/>
        </w:rPr>
        <w:t>dema</w:t>
      </w:r>
      <w:r w:rsidRPr="003E5B90">
        <w:rPr>
          <w:rFonts w:cs="CG Omega"/>
          <w:color w:val="000000"/>
        </w:rPr>
        <w:t xml:space="preserve">: Oedema should be </w:t>
      </w:r>
      <w:r w:rsidR="00E83777" w:rsidRPr="003E5B90">
        <w:rPr>
          <w:rFonts w:cs="CG Omega"/>
          <w:color w:val="000000"/>
        </w:rPr>
        <w:t>assessed,</w:t>
      </w:r>
      <w:r w:rsidRPr="003E5B90">
        <w:rPr>
          <w:rFonts w:cs="CG Omega"/>
          <w:color w:val="000000"/>
        </w:rPr>
        <w:t xml:space="preserve"> and non-venous causes of unilateral and bilateral oedema ruled out.</w:t>
      </w:r>
    </w:p>
    <w:p w14:paraId="52362DE4" w14:textId="01EAEB37" w:rsidR="00F90C1C" w:rsidRPr="003E5B90" w:rsidRDefault="00265FF4" w:rsidP="003E5B90">
      <w:pPr>
        <w:pStyle w:val="ListParagraph"/>
        <w:numPr>
          <w:ilvl w:val="0"/>
          <w:numId w:val="1"/>
        </w:numPr>
      </w:pPr>
      <w:r w:rsidRPr="003E5B90">
        <w:rPr>
          <w:rFonts w:cs="CG Omega"/>
          <w:i/>
          <w:iCs/>
          <w:color w:val="000000"/>
        </w:rPr>
        <w:t>Joint Mobility</w:t>
      </w:r>
      <w:r w:rsidRPr="003E5B90">
        <w:rPr>
          <w:rFonts w:cs="CG Omega"/>
          <w:color w:val="000000"/>
        </w:rPr>
        <w:t>:</w:t>
      </w:r>
      <w:r w:rsidR="003E5B90" w:rsidRPr="003E5B90">
        <w:t xml:space="preserve"> </w:t>
      </w:r>
      <w:r w:rsidR="003E5B90" w:rsidRPr="003E5B90">
        <w:rPr>
          <w:rFonts w:cs="CG Omega"/>
          <w:color w:val="000000"/>
        </w:rPr>
        <w:t>Joint mobility, particularly that of the ankle, is an important component of calf muscle pump function and should be carefully recorded.</w:t>
      </w:r>
      <w:r w:rsidRPr="003E5B90">
        <w:rPr>
          <w:rFonts w:cs="CG Omega"/>
          <w:color w:val="000000"/>
        </w:rPr>
        <w:t xml:space="preserve"> </w:t>
      </w:r>
    </w:p>
    <w:p w14:paraId="730F2703" w14:textId="13710572" w:rsidR="00524F0D" w:rsidRDefault="00B9157A" w:rsidP="00B9157A">
      <w:pPr>
        <w:pStyle w:val="ListParagraph"/>
        <w:numPr>
          <w:ilvl w:val="0"/>
          <w:numId w:val="1"/>
        </w:numPr>
      </w:pPr>
      <w:r w:rsidRPr="003E5B90">
        <w:rPr>
          <w:i/>
          <w:iCs/>
        </w:rPr>
        <w:t>Assessment of arterial supply</w:t>
      </w:r>
      <w:r w:rsidRPr="003E5B90">
        <w:t xml:space="preserve">: It is important to assess arterial supply with respect to safety of compression therapy, which is the standard treatment for venous leg ulcers. Palpation of pulses alone is not adequate to rule out peripheral arterial disease. Measurement of the ankle brachial pressure index (ABPI) of both lower limbs </w:t>
      </w:r>
      <w:r w:rsidR="0009014F">
        <w:t xml:space="preserve">using a </w:t>
      </w:r>
      <w:r w:rsidRPr="003E5B90">
        <w:t>Doppler device is the most reliable way to detect arterial insufficiency</w:t>
      </w:r>
      <w:r w:rsidR="00254CE1">
        <w:t xml:space="preserve"> in a community setting. </w:t>
      </w:r>
    </w:p>
    <w:p w14:paraId="1B3052ED" w14:textId="60133AEA" w:rsidR="000970C2" w:rsidRDefault="000970C2"/>
    <w:p w14:paraId="7C07C93A" w14:textId="2B027CA0" w:rsidR="008A06D7" w:rsidRDefault="008A06D7" w:rsidP="008A06D7">
      <w:pPr>
        <w:pStyle w:val="Heading3"/>
      </w:pPr>
      <w:r>
        <w:t>CQUIN Compliance</w:t>
      </w:r>
    </w:p>
    <w:p w14:paraId="1973CFC8" w14:textId="77777777" w:rsidR="00815EBC" w:rsidRPr="00815EBC" w:rsidRDefault="00815EBC" w:rsidP="00815EBC">
      <w:pPr>
        <w:rPr>
          <w:sz w:val="4"/>
          <w:szCs w:val="4"/>
        </w:rPr>
      </w:pPr>
    </w:p>
    <w:p w14:paraId="40019CD6" w14:textId="0AF6F457" w:rsidR="008A06D7" w:rsidRDefault="008A06D7">
      <w:r w:rsidRPr="008A06D7">
        <w:t xml:space="preserve">To achieve the CQUIN, 25% - 50% of patients audited must have achieved ALL the clinically relevant steps described within the indicator specification. Missing any one of these constitutes a failure.  </w:t>
      </w:r>
    </w:p>
    <w:p w14:paraId="54EF09EA" w14:textId="77777777" w:rsidR="008A06D7" w:rsidRDefault="008A06D7">
      <w:r>
        <w:t xml:space="preserve">Please see CQUIN FAQ section on </w:t>
      </w:r>
      <w:hyperlink r:id="rId15" w:history="1">
        <w:r w:rsidRPr="008A06D7">
          <w:rPr>
            <w:rStyle w:val="Hyperlink"/>
          </w:rPr>
          <w:t>FutureNHS Collaboration Platform</w:t>
        </w:r>
      </w:hyperlink>
      <w:r>
        <w:t xml:space="preserve">  for further information.  </w:t>
      </w:r>
    </w:p>
    <w:p w14:paraId="3A63BB11" w14:textId="3A6AA61F" w:rsidR="008A06D7" w:rsidRDefault="008A06D7">
      <w:r>
        <w:t xml:space="preserve">For access, email </w:t>
      </w:r>
      <w:hyperlink r:id="rId16" w:history="1">
        <w:r w:rsidR="00F31FC6" w:rsidRPr="00247487">
          <w:rPr>
            <w:rStyle w:val="Hyperlink"/>
          </w:rPr>
          <w:t>NatWoundStrat@mft.nhs.uk</w:t>
        </w:r>
      </w:hyperlink>
    </w:p>
    <w:p w14:paraId="0F1CD168" w14:textId="1831F635" w:rsidR="008A06D7" w:rsidRDefault="008A06D7"/>
    <w:p w14:paraId="3A4E5194" w14:textId="77777777" w:rsidR="008A06D7" w:rsidRPr="003E5B90" w:rsidRDefault="008A06D7"/>
    <w:sectPr w:rsidR="008A06D7" w:rsidRPr="003E5B90" w:rsidSect="002C455C">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9CF55" w14:textId="77777777" w:rsidR="005F3F15" w:rsidRDefault="005F3F15" w:rsidP="000970C2">
      <w:pPr>
        <w:spacing w:after="0" w:line="240" w:lineRule="auto"/>
      </w:pPr>
      <w:r>
        <w:separator/>
      </w:r>
    </w:p>
  </w:endnote>
  <w:endnote w:type="continuationSeparator" w:id="0">
    <w:p w14:paraId="263F00DA" w14:textId="77777777" w:rsidR="005F3F15" w:rsidRDefault="005F3F15" w:rsidP="0009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G Omeg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82F8" w14:textId="77777777" w:rsidR="005F3F15" w:rsidRDefault="005F3F15" w:rsidP="000970C2">
      <w:pPr>
        <w:spacing w:after="0" w:line="240" w:lineRule="auto"/>
      </w:pPr>
      <w:r>
        <w:separator/>
      </w:r>
    </w:p>
  </w:footnote>
  <w:footnote w:type="continuationSeparator" w:id="0">
    <w:p w14:paraId="30E6F1D6" w14:textId="77777777" w:rsidR="005F3F15" w:rsidRDefault="005F3F15" w:rsidP="000970C2">
      <w:pPr>
        <w:spacing w:after="0" w:line="240" w:lineRule="auto"/>
      </w:pPr>
      <w:r>
        <w:continuationSeparator/>
      </w:r>
    </w:p>
  </w:footnote>
  <w:footnote w:id="1">
    <w:p w14:paraId="7528F741" w14:textId="77777777" w:rsidR="00510C4A" w:rsidRPr="001C1381" w:rsidRDefault="00510C4A" w:rsidP="00510C4A">
      <w:pPr>
        <w:pStyle w:val="FootnoteText"/>
        <w:rPr>
          <w:lang w:val="en"/>
        </w:rPr>
      </w:pPr>
      <w:r>
        <w:rPr>
          <w:rStyle w:val="FootnoteReference"/>
        </w:rPr>
        <w:footnoteRef/>
      </w:r>
      <w:r>
        <w:t xml:space="preserve"> </w:t>
      </w:r>
      <w:r w:rsidRPr="001C1381">
        <w:rPr>
          <w:lang w:val="en"/>
        </w:rPr>
        <w:t xml:space="preserve">Coleman, S., Nelson, E. A., Vowden, P. et al 2017. Development Of A Generic Wound Care Assessment Minimum Data Set. </w:t>
      </w:r>
      <w:r w:rsidRPr="001C1381">
        <w:rPr>
          <w:i/>
          <w:iCs/>
          <w:lang w:val="en"/>
        </w:rPr>
        <w:t>Journal Of Tissue Viability</w:t>
      </w:r>
      <w:r w:rsidRPr="001C1381">
        <w:rPr>
          <w:lang w:val="en"/>
        </w:rPr>
        <w:t xml:space="preserve">. 26 (4) 226-40 </w:t>
      </w:r>
    </w:p>
    <w:p w14:paraId="3FA2657C" w14:textId="77777777" w:rsidR="00510C4A" w:rsidRDefault="00830616" w:rsidP="00510C4A">
      <w:pPr>
        <w:pStyle w:val="FootnoteText"/>
      </w:pPr>
      <w:hyperlink r:id="rId1" w:history="1">
        <w:r w:rsidR="00510C4A" w:rsidRPr="001C1381">
          <w:rPr>
            <w:rStyle w:val="Hyperlink"/>
          </w:rPr>
          <w:t>https://www.sciencedirect.com/science/article/pii/S0965206X17300529?via%3Dihub</w:t>
        </w:r>
      </w:hyperlink>
    </w:p>
  </w:footnote>
  <w:footnote w:id="2">
    <w:p w14:paraId="5592DE0D" w14:textId="52377B61" w:rsidR="00510C4A" w:rsidRDefault="00510C4A" w:rsidP="00510C4A">
      <w:pPr>
        <w:pStyle w:val="FootnoteText"/>
      </w:pPr>
      <w:r>
        <w:rPr>
          <w:rStyle w:val="FootnoteReference"/>
        </w:rPr>
        <w:footnoteRef/>
      </w:r>
      <w:r>
        <w:t xml:space="preserve"> </w:t>
      </w:r>
      <w:r w:rsidRPr="001C1381">
        <w:t xml:space="preserve">SIGN. 2010. Management of chronic venous leg ulcers - a national clinical guideline. </w:t>
      </w:r>
      <w:hyperlink r:id="rId2" w:history="1">
        <w:r w:rsidRPr="00E30931">
          <w:rPr>
            <w:rStyle w:val="Hyperlink"/>
          </w:rPr>
          <w:t>https://www.sign.ac.uk/sign-120-management-of-chronic-venous-leg-ulcers.html</w:t>
        </w:r>
      </w:hyperlink>
    </w:p>
  </w:footnote>
  <w:footnote w:id="3">
    <w:p w14:paraId="7B2E9C6A" w14:textId="77777777" w:rsidR="00A3644D" w:rsidRPr="00A3644D" w:rsidRDefault="00A3644D" w:rsidP="00A3644D">
      <w:pPr>
        <w:pStyle w:val="FootnoteText"/>
      </w:pPr>
      <w:r>
        <w:rPr>
          <w:rStyle w:val="FootnoteReference"/>
        </w:rPr>
        <w:footnoteRef/>
      </w:r>
      <w:r>
        <w:t xml:space="preserve"> </w:t>
      </w:r>
      <w:r w:rsidRPr="00A3644D">
        <w:t>NICE (2014) Clinical Guideline - Pressure ulcers: prevention and management</w:t>
      </w:r>
    </w:p>
    <w:p w14:paraId="46337948" w14:textId="77777777" w:rsidR="00A3644D" w:rsidRPr="00A3644D" w:rsidRDefault="00A3644D" w:rsidP="00A3644D">
      <w:pPr>
        <w:pStyle w:val="FootnoteText"/>
      </w:pPr>
      <w:r w:rsidRPr="00A3644D">
        <w:t xml:space="preserve">Clinical guideline [CG179] </w:t>
      </w:r>
      <w:hyperlink r:id="rId3" w:history="1">
        <w:r w:rsidRPr="00A3644D">
          <w:rPr>
            <w:rStyle w:val="Hyperlink"/>
          </w:rPr>
          <w:t>https://www.nice.org.uk/guidance/cg179</w:t>
        </w:r>
      </w:hyperlink>
    </w:p>
    <w:p w14:paraId="654A9EA7" w14:textId="3FC092DA" w:rsidR="00A3644D" w:rsidRDefault="00A3644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13DC3" w14:textId="5270A91F" w:rsidR="009024DD" w:rsidRDefault="009024DD" w:rsidP="009024DD">
    <w:pPr>
      <w:pStyle w:val="Header"/>
      <w:jc w:val="right"/>
    </w:pPr>
    <w:r>
      <w:fldChar w:fldCharType="begin"/>
    </w:r>
    <w:r>
      <w:instrText xml:space="preserve"> DATE \@ "dd/MM/yyyy" </w:instrText>
    </w:r>
    <w:r>
      <w:fldChar w:fldCharType="separate"/>
    </w:r>
    <w:r w:rsidR="00F31FC6">
      <w:rPr>
        <w:noProof/>
      </w:rPr>
      <w:t>07/10/2022</w:t>
    </w:r>
    <w:r>
      <w:fldChar w:fldCharType="end"/>
    </w:r>
  </w:p>
  <w:p w14:paraId="519C9587" w14:textId="26D10107" w:rsidR="00F03047" w:rsidRDefault="00F03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D3D6" w14:textId="4E2390B1" w:rsidR="008E0F72" w:rsidRDefault="007769B4" w:rsidP="008E0F72">
    <w:pPr>
      <w:pStyle w:val="Header"/>
      <w:jc w:val="right"/>
    </w:pPr>
    <w:r>
      <w:rPr>
        <w:noProof/>
      </w:rPr>
      <w:drawing>
        <wp:anchor distT="0" distB="0" distL="114300" distR="114300" simplePos="0" relativeHeight="251658240" behindDoc="1" locked="0" layoutInCell="1" allowOverlap="1" wp14:anchorId="734E541D" wp14:editId="2F76B8DE">
          <wp:simplePos x="0" y="0"/>
          <wp:positionH relativeFrom="margin">
            <wp:align>left</wp:align>
          </wp:positionH>
          <wp:positionV relativeFrom="paragraph">
            <wp:posOffset>-177482</wp:posOffset>
          </wp:positionV>
          <wp:extent cx="1417955" cy="633095"/>
          <wp:effectExtent l="0" t="0" r="0" b="0"/>
          <wp:wrapTight wrapText="bothSides">
            <wp:wrapPolygon edited="0">
              <wp:start x="3482" y="0"/>
              <wp:lineTo x="0" y="7799"/>
              <wp:lineTo x="0" y="12999"/>
              <wp:lineTo x="3192" y="20798"/>
              <wp:lineTo x="6094" y="20798"/>
              <wp:lineTo x="21184" y="13649"/>
              <wp:lineTo x="21184" y="7149"/>
              <wp:lineTo x="6094" y="0"/>
              <wp:lineTo x="3482" y="0"/>
            </wp:wrapPolygon>
          </wp:wrapTight>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8032" cy="633413"/>
                  </a:xfrm>
                  <a:prstGeom prst="rect">
                    <a:avLst/>
                  </a:prstGeom>
                </pic:spPr>
              </pic:pic>
            </a:graphicData>
          </a:graphic>
          <wp14:sizeRelH relativeFrom="page">
            <wp14:pctWidth>0</wp14:pctWidth>
          </wp14:sizeRelH>
          <wp14:sizeRelV relativeFrom="page">
            <wp14:pctHeight>0</wp14:pctHeight>
          </wp14:sizeRelV>
        </wp:anchor>
      </w:drawing>
    </w:r>
    <w:r w:rsidR="008E0F72">
      <w:fldChar w:fldCharType="begin"/>
    </w:r>
    <w:r w:rsidR="008E0F72">
      <w:instrText xml:space="preserve"> DATE \@ "dd MMMM yyyy" </w:instrText>
    </w:r>
    <w:r w:rsidR="008E0F72">
      <w:fldChar w:fldCharType="separate"/>
    </w:r>
    <w:r w:rsidR="00F31FC6">
      <w:rPr>
        <w:noProof/>
      </w:rPr>
      <w:t>07 October 2022</w:t>
    </w:r>
    <w:r w:rsidR="008E0F7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81BB7"/>
    <w:multiLevelType w:val="hybridMultilevel"/>
    <w:tmpl w:val="420C55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B82B5B"/>
    <w:multiLevelType w:val="hybridMultilevel"/>
    <w:tmpl w:val="A6D481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9F6"/>
    <w:rsid w:val="00001292"/>
    <w:rsid w:val="000323F2"/>
    <w:rsid w:val="00056098"/>
    <w:rsid w:val="00056741"/>
    <w:rsid w:val="00076AB1"/>
    <w:rsid w:val="0009014F"/>
    <w:rsid w:val="00091227"/>
    <w:rsid w:val="000970C2"/>
    <w:rsid w:val="001078D9"/>
    <w:rsid w:val="0011020F"/>
    <w:rsid w:val="00116B21"/>
    <w:rsid w:val="00136C7F"/>
    <w:rsid w:val="00150FAF"/>
    <w:rsid w:val="001C1381"/>
    <w:rsid w:val="001C2F3D"/>
    <w:rsid w:val="001D475B"/>
    <w:rsid w:val="001E30C1"/>
    <w:rsid w:val="001F3A03"/>
    <w:rsid w:val="00211E09"/>
    <w:rsid w:val="002421EF"/>
    <w:rsid w:val="00254CE1"/>
    <w:rsid w:val="00261023"/>
    <w:rsid w:val="00265FF4"/>
    <w:rsid w:val="002977BF"/>
    <w:rsid w:val="002C455C"/>
    <w:rsid w:val="002D61E2"/>
    <w:rsid w:val="00300AA0"/>
    <w:rsid w:val="0030761E"/>
    <w:rsid w:val="00313063"/>
    <w:rsid w:val="00380215"/>
    <w:rsid w:val="003A7BB9"/>
    <w:rsid w:val="003C6620"/>
    <w:rsid w:val="003D4B69"/>
    <w:rsid w:val="003E5B90"/>
    <w:rsid w:val="003E6D4A"/>
    <w:rsid w:val="003F5683"/>
    <w:rsid w:val="00406421"/>
    <w:rsid w:val="0047159C"/>
    <w:rsid w:val="004A2B8E"/>
    <w:rsid w:val="004C4177"/>
    <w:rsid w:val="004E0623"/>
    <w:rsid w:val="004F426C"/>
    <w:rsid w:val="00510C4A"/>
    <w:rsid w:val="00524F0D"/>
    <w:rsid w:val="00553E25"/>
    <w:rsid w:val="005921C9"/>
    <w:rsid w:val="005A4AEB"/>
    <w:rsid w:val="005C4B75"/>
    <w:rsid w:val="005D2561"/>
    <w:rsid w:val="005F1366"/>
    <w:rsid w:val="005F3F15"/>
    <w:rsid w:val="005F6641"/>
    <w:rsid w:val="006670C0"/>
    <w:rsid w:val="00671F52"/>
    <w:rsid w:val="00752DB0"/>
    <w:rsid w:val="00774860"/>
    <w:rsid w:val="007769B4"/>
    <w:rsid w:val="007852B1"/>
    <w:rsid w:val="0078723A"/>
    <w:rsid w:val="007D69EA"/>
    <w:rsid w:val="00815EBC"/>
    <w:rsid w:val="00830616"/>
    <w:rsid w:val="00837909"/>
    <w:rsid w:val="00854E75"/>
    <w:rsid w:val="00872726"/>
    <w:rsid w:val="008A06D7"/>
    <w:rsid w:val="008A09DF"/>
    <w:rsid w:val="008E0F72"/>
    <w:rsid w:val="008E2784"/>
    <w:rsid w:val="00900DC8"/>
    <w:rsid w:val="009022B3"/>
    <w:rsid w:val="009024DD"/>
    <w:rsid w:val="00904DD1"/>
    <w:rsid w:val="0095505E"/>
    <w:rsid w:val="00A007C8"/>
    <w:rsid w:val="00A133E4"/>
    <w:rsid w:val="00A164C0"/>
    <w:rsid w:val="00A16DFB"/>
    <w:rsid w:val="00A34CC3"/>
    <w:rsid w:val="00A3644D"/>
    <w:rsid w:val="00A518BC"/>
    <w:rsid w:val="00A776A0"/>
    <w:rsid w:val="00AB6CF8"/>
    <w:rsid w:val="00AC5428"/>
    <w:rsid w:val="00AC7B90"/>
    <w:rsid w:val="00AD2355"/>
    <w:rsid w:val="00B20E73"/>
    <w:rsid w:val="00B26F51"/>
    <w:rsid w:val="00B40D5F"/>
    <w:rsid w:val="00B54674"/>
    <w:rsid w:val="00B9157A"/>
    <w:rsid w:val="00BA4FA7"/>
    <w:rsid w:val="00BA7FA8"/>
    <w:rsid w:val="00BE10A2"/>
    <w:rsid w:val="00C24A3E"/>
    <w:rsid w:val="00C3150E"/>
    <w:rsid w:val="00C316A3"/>
    <w:rsid w:val="00C325A7"/>
    <w:rsid w:val="00D15BCD"/>
    <w:rsid w:val="00D27AF4"/>
    <w:rsid w:val="00D9291E"/>
    <w:rsid w:val="00DB2DAF"/>
    <w:rsid w:val="00DE0106"/>
    <w:rsid w:val="00DF3112"/>
    <w:rsid w:val="00E03C39"/>
    <w:rsid w:val="00E1200B"/>
    <w:rsid w:val="00E16078"/>
    <w:rsid w:val="00E22E9D"/>
    <w:rsid w:val="00E270CE"/>
    <w:rsid w:val="00E45829"/>
    <w:rsid w:val="00E4657D"/>
    <w:rsid w:val="00E64493"/>
    <w:rsid w:val="00E83777"/>
    <w:rsid w:val="00E928FE"/>
    <w:rsid w:val="00EA1A68"/>
    <w:rsid w:val="00EA3D97"/>
    <w:rsid w:val="00EC1DAB"/>
    <w:rsid w:val="00EF6240"/>
    <w:rsid w:val="00F03047"/>
    <w:rsid w:val="00F31FC6"/>
    <w:rsid w:val="00F32EDE"/>
    <w:rsid w:val="00F83B46"/>
    <w:rsid w:val="00F869F6"/>
    <w:rsid w:val="00F9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BE319"/>
  <w15:chartTrackingRefBased/>
  <w15:docId w15:val="{6BF4EFB0-342F-45F9-9D8F-13771C09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2D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2D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A06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3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159C"/>
    <w:rPr>
      <w:sz w:val="16"/>
      <w:szCs w:val="16"/>
    </w:rPr>
  </w:style>
  <w:style w:type="paragraph" w:styleId="CommentText">
    <w:name w:val="annotation text"/>
    <w:basedOn w:val="Normal"/>
    <w:link w:val="CommentTextChar"/>
    <w:uiPriority w:val="99"/>
    <w:semiHidden/>
    <w:unhideWhenUsed/>
    <w:rsid w:val="0047159C"/>
    <w:pPr>
      <w:spacing w:line="240" w:lineRule="auto"/>
    </w:pPr>
    <w:rPr>
      <w:sz w:val="20"/>
      <w:szCs w:val="20"/>
    </w:rPr>
  </w:style>
  <w:style w:type="character" w:customStyle="1" w:styleId="CommentTextChar">
    <w:name w:val="Comment Text Char"/>
    <w:basedOn w:val="DefaultParagraphFont"/>
    <w:link w:val="CommentText"/>
    <w:uiPriority w:val="99"/>
    <w:semiHidden/>
    <w:rsid w:val="0047159C"/>
    <w:rPr>
      <w:sz w:val="20"/>
      <w:szCs w:val="20"/>
    </w:rPr>
  </w:style>
  <w:style w:type="paragraph" w:styleId="CommentSubject">
    <w:name w:val="annotation subject"/>
    <w:basedOn w:val="CommentText"/>
    <w:next w:val="CommentText"/>
    <w:link w:val="CommentSubjectChar"/>
    <w:uiPriority w:val="99"/>
    <w:semiHidden/>
    <w:unhideWhenUsed/>
    <w:rsid w:val="0047159C"/>
    <w:rPr>
      <w:b/>
      <w:bCs/>
    </w:rPr>
  </w:style>
  <w:style w:type="character" w:customStyle="1" w:styleId="CommentSubjectChar">
    <w:name w:val="Comment Subject Char"/>
    <w:basedOn w:val="CommentTextChar"/>
    <w:link w:val="CommentSubject"/>
    <w:uiPriority w:val="99"/>
    <w:semiHidden/>
    <w:rsid w:val="0047159C"/>
    <w:rPr>
      <w:b/>
      <w:bCs/>
      <w:sz w:val="20"/>
      <w:szCs w:val="20"/>
    </w:rPr>
  </w:style>
  <w:style w:type="paragraph" w:styleId="BalloonText">
    <w:name w:val="Balloon Text"/>
    <w:basedOn w:val="Normal"/>
    <w:link w:val="BalloonTextChar"/>
    <w:uiPriority w:val="99"/>
    <w:semiHidden/>
    <w:unhideWhenUsed/>
    <w:rsid w:val="004715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59C"/>
    <w:rPr>
      <w:rFonts w:ascii="Segoe UI" w:hAnsi="Segoe UI" w:cs="Segoe UI"/>
      <w:sz w:val="18"/>
      <w:szCs w:val="18"/>
    </w:rPr>
  </w:style>
  <w:style w:type="paragraph" w:styleId="FootnoteText">
    <w:name w:val="footnote text"/>
    <w:basedOn w:val="Normal"/>
    <w:link w:val="FootnoteTextChar"/>
    <w:uiPriority w:val="99"/>
    <w:unhideWhenUsed/>
    <w:rsid w:val="000970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70C2"/>
    <w:rPr>
      <w:sz w:val="20"/>
      <w:szCs w:val="20"/>
    </w:rPr>
  </w:style>
  <w:style w:type="character" w:styleId="FootnoteReference">
    <w:name w:val="footnote reference"/>
    <w:basedOn w:val="DefaultParagraphFont"/>
    <w:uiPriority w:val="99"/>
    <w:semiHidden/>
    <w:unhideWhenUsed/>
    <w:rsid w:val="000970C2"/>
    <w:rPr>
      <w:vertAlign w:val="superscript"/>
    </w:rPr>
  </w:style>
  <w:style w:type="paragraph" w:styleId="ListParagraph">
    <w:name w:val="List Paragraph"/>
    <w:basedOn w:val="Normal"/>
    <w:uiPriority w:val="34"/>
    <w:qFormat/>
    <w:rsid w:val="000970C2"/>
    <w:pPr>
      <w:ind w:left="720"/>
      <w:contextualSpacing/>
    </w:pPr>
  </w:style>
  <w:style w:type="character" w:styleId="Hyperlink">
    <w:name w:val="Hyperlink"/>
    <w:basedOn w:val="DefaultParagraphFont"/>
    <w:uiPriority w:val="99"/>
    <w:unhideWhenUsed/>
    <w:rsid w:val="001C1381"/>
    <w:rPr>
      <w:color w:val="0563C1" w:themeColor="hyperlink"/>
      <w:u w:val="single"/>
    </w:rPr>
  </w:style>
  <w:style w:type="character" w:customStyle="1" w:styleId="UnresolvedMention1">
    <w:name w:val="Unresolved Mention1"/>
    <w:basedOn w:val="DefaultParagraphFont"/>
    <w:uiPriority w:val="99"/>
    <w:semiHidden/>
    <w:unhideWhenUsed/>
    <w:rsid w:val="001C1381"/>
    <w:rPr>
      <w:color w:val="605E5C"/>
      <w:shd w:val="clear" w:color="auto" w:fill="E1DFDD"/>
    </w:rPr>
  </w:style>
  <w:style w:type="character" w:customStyle="1" w:styleId="Heading1Char">
    <w:name w:val="Heading 1 Char"/>
    <w:basedOn w:val="DefaultParagraphFont"/>
    <w:link w:val="Heading1"/>
    <w:uiPriority w:val="9"/>
    <w:rsid w:val="00DB2D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2DA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0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047"/>
  </w:style>
  <w:style w:type="paragraph" w:styleId="Footer">
    <w:name w:val="footer"/>
    <w:basedOn w:val="Normal"/>
    <w:link w:val="FooterChar"/>
    <w:uiPriority w:val="99"/>
    <w:unhideWhenUsed/>
    <w:rsid w:val="00F0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047"/>
  </w:style>
  <w:style w:type="character" w:styleId="UnresolvedMention">
    <w:name w:val="Unresolved Mention"/>
    <w:basedOn w:val="DefaultParagraphFont"/>
    <w:uiPriority w:val="99"/>
    <w:semiHidden/>
    <w:unhideWhenUsed/>
    <w:rsid w:val="00AB6CF8"/>
    <w:rPr>
      <w:color w:val="605E5C"/>
      <w:shd w:val="clear" w:color="auto" w:fill="E1DFDD"/>
    </w:rPr>
  </w:style>
  <w:style w:type="paragraph" w:customStyle="1" w:styleId="Default">
    <w:name w:val="Default"/>
    <w:rsid w:val="008E0F7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A06D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encedirect.com/science/article/pii/S0965206X17300529?via%3Dihub"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NatWoundStrat@mft.nhs.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future.nhs.uk/connect.ti/home/grouphom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n.ac.uk/assets/sign120.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nice.org.uk/guidance/cg179" TargetMode="External"/><Relationship Id="rId2" Type="http://schemas.openxmlformats.org/officeDocument/2006/relationships/hyperlink" Target="https://www.sign.ac.uk/sign-120-management-of-chronic-venous-leg-ulcers.html" TargetMode="External"/><Relationship Id="rId1" Type="http://schemas.openxmlformats.org/officeDocument/2006/relationships/hyperlink" Target="https://www.sciencedirect.com/science/article/pii/S0965206X17300529?via%3Dihu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2C8FA5B7B9FC49B25B64B07CA562F1" ma:contentTypeVersion="12" ma:contentTypeDescription="Create a new document." ma:contentTypeScope="" ma:versionID="5d27b65d45f4d0fd06726743377d8d70">
  <xsd:schema xmlns:xsd="http://www.w3.org/2001/XMLSchema" xmlns:xs="http://www.w3.org/2001/XMLSchema" xmlns:p="http://schemas.microsoft.com/office/2006/metadata/properties" xmlns:ns2="ff982bb4-f8ce-4817-8c07-b7a647495a86" xmlns:ns3="2044690c-356d-434b-82ed-04cb51871294" targetNamespace="http://schemas.microsoft.com/office/2006/metadata/properties" ma:root="true" ma:fieldsID="6a25eade6141dc5cd787f26783295d1b" ns2:_="" ns3:_="">
    <xsd:import namespace="ff982bb4-f8ce-4817-8c07-b7a647495a86"/>
    <xsd:import namespace="2044690c-356d-434b-82ed-04cb51871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982bb4-f8ce-4817-8c07-b7a647495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44690c-356d-434b-82ed-04cb518712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69BBF-AC14-4A10-B30D-0F04D501BF15}">
  <ds:schemaRefs>
    <ds:schemaRef ds:uri="http://schemas.microsoft.com/sharepoint/v3/contenttype/forms"/>
  </ds:schemaRefs>
</ds:datastoreItem>
</file>

<file path=customXml/itemProps2.xml><?xml version="1.0" encoding="utf-8"?>
<ds:datastoreItem xmlns:ds="http://schemas.openxmlformats.org/officeDocument/2006/customXml" ds:itemID="{266E8E9D-ACB7-4F35-8E13-870850A36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982bb4-f8ce-4817-8c07-b7a647495a86"/>
    <ds:schemaRef ds:uri="2044690c-356d-434b-82ed-04cb51871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8CD94-C509-42C5-BA49-A370977B89B2}">
  <ds:schemaRefs>
    <ds:schemaRef ds:uri="http://schemas.openxmlformats.org/officeDocument/2006/bibliography"/>
  </ds:schemaRefs>
</ds:datastoreItem>
</file>

<file path=customXml/itemProps4.xml><?xml version="1.0" encoding="utf-8"?>
<ds:datastoreItem xmlns:ds="http://schemas.openxmlformats.org/officeDocument/2006/customXml" ds:itemID="{9FCCFFD3-2539-46D4-A3B1-199281169D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Adderley</dc:creator>
  <cp:keywords/>
  <dc:description/>
  <cp:lastModifiedBy>Shaw Frances (R0A) Manchester University NHS FT</cp:lastModifiedBy>
  <cp:revision>5</cp:revision>
  <dcterms:created xsi:type="dcterms:W3CDTF">2022-02-03T19:07:00Z</dcterms:created>
  <dcterms:modified xsi:type="dcterms:W3CDTF">2022-10-07T09:57:00Z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0x0101001E2C8FA5B7B9FC49B25B64B07CA562F1</vt:lpwstr>
  </property>
</Properties>
</file>